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B4" w:rsidRPr="00B22B67" w:rsidRDefault="007176B4" w:rsidP="00D416CA">
      <w:pPr>
        <w:pStyle w:val="Title"/>
        <w:jc w:val="left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4723E4" w:rsidRPr="00B22B67" w:rsidRDefault="004723E4" w:rsidP="00D34B4A">
      <w:pPr>
        <w:pStyle w:val="Title"/>
        <w:rPr>
          <w:rFonts w:ascii="Arial" w:hAnsi="Arial" w:cs="Arial"/>
          <w:sz w:val="26"/>
          <w:szCs w:val="26"/>
        </w:rPr>
      </w:pPr>
    </w:p>
    <w:p w:rsidR="004723E4" w:rsidRPr="00B22B67" w:rsidRDefault="004723E4" w:rsidP="00D34B4A">
      <w:pPr>
        <w:pStyle w:val="Title"/>
        <w:rPr>
          <w:rFonts w:ascii="Arial" w:hAnsi="Arial" w:cs="Arial"/>
          <w:sz w:val="26"/>
          <w:szCs w:val="26"/>
        </w:rPr>
      </w:pPr>
    </w:p>
    <w:p w:rsidR="00154624" w:rsidRPr="00777A17" w:rsidRDefault="00154624" w:rsidP="00D34B4A">
      <w:pPr>
        <w:pStyle w:val="Title"/>
        <w:rPr>
          <w:rFonts w:ascii="Arial" w:hAnsi="Arial" w:cs="Arial"/>
          <w:color w:val="000000" w:themeColor="text1"/>
          <w:sz w:val="26"/>
          <w:szCs w:val="26"/>
        </w:rPr>
      </w:pPr>
      <w:r w:rsidRPr="00777A17">
        <w:rPr>
          <w:rFonts w:ascii="Arial" w:hAnsi="Arial" w:cs="Arial"/>
          <w:color w:val="000000" w:themeColor="text1"/>
          <w:sz w:val="26"/>
          <w:szCs w:val="26"/>
        </w:rPr>
        <w:t>Borsa İstanbul’da</w:t>
      </w:r>
      <w:r w:rsidR="00D734D4" w:rsidRPr="00777A17">
        <w:rPr>
          <w:rFonts w:ascii="Arial" w:hAnsi="Arial" w:cs="Arial"/>
          <w:color w:val="000000" w:themeColor="text1"/>
          <w:sz w:val="26"/>
          <w:szCs w:val="26"/>
        </w:rPr>
        <w:t xml:space="preserve"> (</w:t>
      </w:r>
      <w:r w:rsidRPr="00777A17">
        <w:rPr>
          <w:rFonts w:ascii="Arial" w:hAnsi="Arial" w:cs="Arial"/>
          <w:color w:val="000000" w:themeColor="text1"/>
          <w:sz w:val="26"/>
          <w:szCs w:val="26"/>
        </w:rPr>
        <w:t>BIST</w:t>
      </w:r>
      <w:r w:rsidR="00D734D4" w:rsidRPr="00777A17">
        <w:rPr>
          <w:rFonts w:ascii="Arial" w:hAnsi="Arial" w:cs="Arial"/>
          <w:color w:val="000000" w:themeColor="text1"/>
          <w:sz w:val="26"/>
          <w:szCs w:val="26"/>
        </w:rPr>
        <w:t>)</w:t>
      </w:r>
      <w:r w:rsidR="007060EC" w:rsidRPr="00777A17">
        <w:rPr>
          <w:rFonts w:ascii="Arial" w:hAnsi="Arial" w:cs="Arial"/>
          <w:color w:val="000000" w:themeColor="text1"/>
          <w:sz w:val="26"/>
          <w:szCs w:val="26"/>
        </w:rPr>
        <w:t xml:space="preserve"> İşlem Gören Mevduat Bankaları, </w:t>
      </w:r>
    </w:p>
    <w:p w:rsidR="00544DFA" w:rsidRPr="00777A17" w:rsidRDefault="006A2700" w:rsidP="00D34B4A">
      <w:pPr>
        <w:pStyle w:val="Title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Haziran</w:t>
      </w:r>
      <w:r w:rsidR="00367936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7060EC" w:rsidRPr="00777A17">
        <w:rPr>
          <w:rFonts w:ascii="Arial" w:hAnsi="Arial" w:cs="Arial"/>
          <w:color w:val="000000" w:themeColor="text1"/>
          <w:sz w:val="26"/>
          <w:szCs w:val="26"/>
        </w:rPr>
        <w:t>20</w:t>
      </w:r>
      <w:r w:rsidR="00290CE8" w:rsidRPr="00777A17">
        <w:rPr>
          <w:rFonts w:ascii="Arial" w:hAnsi="Arial" w:cs="Arial"/>
          <w:color w:val="000000" w:themeColor="text1"/>
          <w:sz w:val="26"/>
          <w:szCs w:val="26"/>
        </w:rPr>
        <w:t>1</w:t>
      </w:r>
      <w:r w:rsidR="00367936">
        <w:rPr>
          <w:rFonts w:ascii="Arial" w:hAnsi="Arial" w:cs="Arial"/>
          <w:color w:val="000000" w:themeColor="text1"/>
          <w:sz w:val="26"/>
          <w:szCs w:val="26"/>
        </w:rPr>
        <w:t>4</w:t>
      </w:r>
      <w:r w:rsidR="00932962" w:rsidRPr="00777A17">
        <w:rPr>
          <w:rStyle w:val="FootnoteReference"/>
          <w:rFonts w:ascii="Arial" w:hAnsi="Arial" w:cs="Arial"/>
          <w:color w:val="000000" w:themeColor="text1"/>
          <w:sz w:val="26"/>
          <w:szCs w:val="26"/>
        </w:rPr>
        <w:footnoteReference w:id="1"/>
      </w:r>
    </w:p>
    <w:p w:rsidR="004440D6" w:rsidRPr="00777A17" w:rsidRDefault="004440D6" w:rsidP="00544DFA">
      <w:pPr>
        <w:pStyle w:val="Subtitle"/>
        <w:rPr>
          <w:rFonts w:ascii="Arial" w:hAnsi="Arial" w:cs="Arial"/>
          <w:color w:val="000000" w:themeColor="text1"/>
          <w:szCs w:val="24"/>
        </w:rPr>
      </w:pPr>
      <w:bookmarkStart w:id="1" w:name="OLE_LINK3"/>
      <w:bookmarkStart w:id="2" w:name="OLE_LINK4"/>
    </w:p>
    <w:p w:rsidR="00544DFA" w:rsidRPr="00517505" w:rsidRDefault="00D34B4A" w:rsidP="00544DFA">
      <w:pPr>
        <w:pStyle w:val="Subtitle"/>
        <w:rPr>
          <w:rFonts w:ascii="Arial" w:hAnsi="Arial" w:cs="Arial"/>
          <w:szCs w:val="24"/>
        </w:rPr>
      </w:pPr>
      <w:r w:rsidRPr="00517505">
        <w:rPr>
          <w:rFonts w:ascii="Arial" w:hAnsi="Arial" w:cs="Arial"/>
          <w:szCs w:val="24"/>
        </w:rPr>
        <w:t>1</w:t>
      </w:r>
      <w:r w:rsidR="00A97252" w:rsidRPr="00517505">
        <w:rPr>
          <w:rFonts w:ascii="Arial" w:hAnsi="Arial" w:cs="Arial"/>
          <w:szCs w:val="24"/>
        </w:rPr>
        <w:t xml:space="preserve">. </w:t>
      </w:r>
      <w:r w:rsidR="00154624" w:rsidRPr="00517505">
        <w:rPr>
          <w:rFonts w:ascii="Arial" w:hAnsi="Arial" w:cs="Arial"/>
          <w:szCs w:val="24"/>
        </w:rPr>
        <w:t>BIST</w:t>
      </w:r>
      <w:r w:rsidR="00544DFA" w:rsidRPr="00517505">
        <w:rPr>
          <w:rFonts w:ascii="Arial" w:hAnsi="Arial" w:cs="Arial"/>
          <w:szCs w:val="24"/>
        </w:rPr>
        <w:t>’de İ</w:t>
      </w:r>
      <w:r w:rsidR="002C5A1A" w:rsidRPr="00517505">
        <w:rPr>
          <w:rFonts w:ascii="Arial" w:hAnsi="Arial" w:cs="Arial"/>
          <w:szCs w:val="24"/>
        </w:rPr>
        <w:t>şlem Gören Mevduat Bankalarının</w:t>
      </w:r>
      <w:r w:rsidR="00544DFA" w:rsidRPr="00517505">
        <w:rPr>
          <w:rFonts w:ascii="Arial" w:hAnsi="Arial" w:cs="Arial"/>
          <w:szCs w:val="24"/>
        </w:rPr>
        <w:t xml:space="preserve"> Bankacılık Sektörü İçindeki Yeri</w:t>
      </w:r>
    </w:p>
    <w:p w:rsidR="00544DFA" w:rsidRPr="00911C62" w:rsidRDefault="00544DFA" w:rsidP="00544DFA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544DFA" w:rsidRPr="00911C62" w:rsidRDefault="00AD0570" w:rsidP="00544DFA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Haziran</w:t>
      </w:r>
      <w:r w:rsidR="00517505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2014</w:t>
      </w:r>
      <w:r w:rsidR="00544DF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itibariyle, </w:t>
      </w:r>
      <w:r w:rsidR="0070101B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BIST</w:t>
      </w:r>
      <w:r w:rsidR="00544DF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’de işlem gören mevduat banka</w:t>
      </w:r>
      <w:r w:rsidR="009F29D7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sı sayısı 12</w:t>
      </w:r>
      <w:r w:rsidR="00544DF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olmuştur.</w:t>
      </w:r>
      <w:r w:rsidR="00DF1B8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Bu bankalar,</w:t>
      </w:r>
      <w:r w:rsidR="004D17D7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2F24CF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8</w:t>
      </w:r>
      <w:r w:rsidR="00D5004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.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410</w:t>
      </w:r>
      <w:r w:rsidR="00AD1B45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şube </w:t>
      </w:r>
      <w:r w:rsidR="002F24CF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ve 14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9</w:t>
      </w:r>
      <w:r w:rsidR="00D5004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.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969</w:t>
      </w:r>
      <w:r w:rsidR="00544DF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personel ile sektördeki </w:t>
      </w:r>
      <w:r w:rsidR="006D04A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şubelerin </w:t>
      </w:r>
      <w:r w:rsidR="0070101B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76</w:t>
      </w:r>
      <w:r w:rsidR="0048538F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’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sına </w:t>
      </w:r>
      <w:r w:rsidR="0072685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sahipti</w:t>
      </w:r>
      <w:r w:rsidR="00005663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r</w:t>
      </w:r>
      <w:r w:rsidR="0072685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ler ve </w:t>
      </w:r>
      <w:r w:rsidR="006D04A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personelin yüzde </w:t>
      </w:r>
      <w:r w:rsidR="002F24CF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75’ini</w:t>
      </w:r>
      <w:r w:rsidR="0072685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istihdam etmektedirler.</w:t>
      </w:r>
      <w:r w:rsidR="00544DF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</w:p>
    <w:p w:rsidR="0072685A" w:rsidRPr="00B0587B" w:rsidRDefault="0072685A" w:rsidP="00544DFA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544DFA" w:rsidRPr="00432AAC" w:rsidRDefault="0070101B" w:rsidP="00544DFA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BIST</w:t>
      </w:r>
      <w:r w:rsidR="00544DFA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’de işlem gören mevduat bankalarının, </w:t>
      </w:r>
      <w:r w:rsidR="00911C62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Haziran</w:t>
      </w:r>
      <w:r w:rsidR="00323632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B92854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2014</w:t>
      </w:r>
      <w:r w:rsidR="00544DFA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itibariyle, sektör toplam </w:t>
      </w:r>
      <w:r w:rsidR="008A4022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aktifleri içindeki payı </w:t>
      </w:r>
      <w:r w:rsidR="00B92854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bir önceki çeyreğe göre </w:t>
      </w:r>
      <w:r w:rsidR="00432AAC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değişmeyerek </w:t>
      </w:r>
      <w:r w:rsidR="008A4022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yüzde</w:t>
      </w:r>
      <w:r w:rsidR="00110161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7</w:t>
      </w:r>
      <w:r w:rsidR="00B92854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4 olurken, </w:t>
      </w:r>
      <w:r w:rsidR="00544DFA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toplam</w:t>
      </w:r>
      <w:r w:rsidR="00601214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kredil</w:t>
      </w:r>
      <w:r w:rsidR="00694C70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er içindeki payı yüzde </w:t>
      </w:r>
      <w:r w:rsidR="00323632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7</w:t>
      </w:r>
      <w:r w:rsidR="00B92854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7</w:t>
      </w:r>
      <w:r w:rsidR="00544DFA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ve topla</w:t>
      </w:r>
      <w:r w:rsidR="00710A75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m mevduat içindeki payı yüzde </w:t>
      </w:r>
      <w:r w:rsidR="008A479E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8</w:t>
      </w:r>
      <w:r w:rsidR="00432AAC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="00544DFA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olmuştur.</w:t>
      </w:r>
    </w:p>
    <w:p w:rsidR="00544DFA" w:rsidRPr="00B0587B" w:rsidRDefault="00544DFA" w:rsidP="00544DFA">
      <w:pPr>
        <w:rPr>
          <w:rFonts w:ascii="Arial" w:hAnsi="Arial" w:cs="Arial"/>
          <w:b/>
          <w:color w:val="FF0000"/>
          <w:sz w:val="22"/>
          <w:szCs w:val="22"/>
        </w:rPr>
      </w:pPr>
    </w:p>
    <w:p w:rsidR="00373BB1" w:rsidRPr="00911C62" w:rsidRDefault="005839EF" w:rsidP="00373BB1">
      <w:pPr>
        <w:pStyle w:val="Subtitle"/>
        <w:rPr>
          <w:rFonts w:ascii="Arial" w:hAnsi="Arial" w:cs="Arial"/>
          <w:color w:val="000000" w:themeColor="text1"/>
          <w:szCs w:val="24"/>
        </w:rPr>
      </w:pPr>
      <w:r w:rsidRPr="00911C62">
        <w:rPr>
          <w:rFonts w:ascii="Arial" w:hAnsi="Arial" w:cs="Arial"/>
          <w:color w:val="000000" w:themeColor="text1"/>
          <w:szCs w:val="24"/>
        </w:rPr>
        <w:t>2</w:t>
      </w:r>
      <w:r w:rsidR="00A97252" w:rsidRPr="00911C62">
        <w:rPr>
          <w:rFonts w:ascii="Arial" w:hAnsi="Arial" w:cs="Arial"/>
          <w:color w:val="000000" w:themeColor="text1"/>
          <w:szCs w:val="24"/>
        </w:rPr>
        <w:t xml:space="preserve">. </w:t>
      </w:r>
      <w:r w:rsidR="0070101B" w:rsidRPr="00911C62">
        <w:rPr>
          <w:rFonts w:ascii="Arial" w:hAnsi="Arial" w:cs="Arial"/>
          <w:color w:val="000000" w:themeColor="text1"/>
          <w:szCs w:val="24"/>
        </w:rPr>
        <w:t>BIST</w:t>
      </w:r>
      <w:r w:rsidR="00373BB1" w:rsidRPr="00911C62">
        <w:rPr>
          <w:rFonts w:ascii="Arial" w:hAnsi="Arial" w:cs="Arial"/>
          <w:color w:val="000000" w:themeColor="text1"/>
          <w:szCs w:val="24"/>
        </w:rPr>
        <w:t>’de İşlem Gören Mevduat Bankalarındaki Gelişmeler</w:t>
      </w:r>
    </w:p>
    <w:p w:rsidR="00373BB1" w:rsidRPr="00911C62" w:rsidRDefault="00373BB1" w:rsidP="00373BB1">
      <w:pPr>
        <w:pStyle w:val="Subtitle"/>
        <w:rPr>
          <w:rFonts w:ascii="Arial" w:hAnsi="Arial" w:cs="Arial"/>
          <w:color w:val="000000" w:themeColor="text1"/>
          <w:sz w:val="22"/>
          <w:szCs w:val="22"/>
        </w:rPr>
      </w:pPr>
    </w:p>
    <w:p w:rsidR="00373BB1" w:rsidRPr="00911C62" w:rsidRDefault="0070101B" w:rsidP="00373BB1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BIST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’de işlem gören mevduat bankalarının toplam aktifleri</w:t>
      </w:r>
      <w:r w:rsidR="00583A9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,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Haziran</w:t>
      </w:r>
      <w:r w:rsidR="00B9285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2014</w:t>
      </w:r>
      <w:r w:rsidR="00583A9A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itibariyle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bir yıl önceye göre yüzde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18</w:t>
      </w:r>
      <w:r w:rsidR="00694405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artarak, </w:t>
      </w:r>
      <w:r w:rsidR="00EC68BF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1.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283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milyar TL’ye yükselmiştir. </w:t>
      </w:r>
    </w:p>
    <w:p w:rsidR="00373BB1" w:rsidRPr="00B0587B" w:rsidRDefault="00373BB1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373BB1" w:rsidRPr="00AD0570" w:rsidRDefault="00373BB1" w:rsidP="00373BB1">
      <w:pPr>
        <w:pStyle w:val="Subtitle"/>
        <w:jc w:val="center"/>
        <w:rPr>
          <w:rFonts w:ascii="Arial" w:hAnsi="Arial" w:cs="Arial"/>
          <w:color w:val="000000" w:themeColor="text1"/>
          <w:szCs w:val="24"/>
        </w:rPr>
      </w:pPr>
      <w:r w:rsidRPr="00AD0570">
        <w:rPr>
          <w:rFonts w:ascii="Arial" w:hAnsi="Arial" w:cs="Arial"/>
          <w:color w:val="000000" w:themeColor="text1"/>
          <w:szCs w:val="24"/>
        </w:rPr>
        <w:t>Aktif Kalemlerdeki Gelişmeler (Milyon TL)</w:t>
      </w:r>
    </w:p>
    <w:p w:rsidR="00315335" w:rsidRPr="00AD0570" w:rsidRDefault="00315335" w:rsidP="00373BB1">
      <w:pPr>
        <w:pStyle w:val="Subtitle"/>
        <w:jc w:val="center"/>
        <w:rPr>
          <w:rFonts w:ascii="Arial" w:hAnsi="Arial" w:cs="Arial"/>
          <w:color w:val="000000" w:themeColor="text1"/>
          <w:szCs w:val="24"/>
        </w:rPr>
      </w:pPr>
    </w:p>
    <w:tbl>
      <w:tblPr>
        <w:tblW w:w="74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032"/>
        <w:gridCol w:w="1196"/>
        <w:gridCol w:w="1276"/>
        <w:gridCol w:w="1418"/>
      </w:tblGrid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8610C7">
            <w:pPr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6A2700" w:rsidP="008610C7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EF7712"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6A2700" w:rsidP="00EF771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EF7712"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EF771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Yıllık yüzde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EF771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Yüzde pay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8610C7">
            <w:pPr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8610C7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2014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EF771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EF771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değişme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6A2700" w:rsidP="00EF7712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EF7712"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 2014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Likit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179.419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141.944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14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Menkul değerler cüzdanı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227.532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210.074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18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821.437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693.821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64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 xml:space="preserve"> -Takipteki 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23.692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19.487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 xml:space="preserve"> -Özel karşılıklar (-)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18.846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15.133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Duran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4205F5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33.767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29.832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Diğer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570" w:rsidRPr="00AD0570" w:rsidRDefault="00AD0570" w:rsidP="004205F5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21.331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16.422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Toplam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1.283.486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1.092.093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100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 xml:space="preserve">  TL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843.053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733.780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66</w:t>
            </w:r>
          </w:p>
        </w:tc>
      </w:tr>
      <w:tr w:rsidR="00AD0570" w:rsidRPr="00AD0570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8610C7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 xml:space="preserve">  YP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8610C7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440.433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358.314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0570" w:rsidRPr="00AD0570" w:rsidRDefault="00AD0570" w:rsidP="00EF7712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34</w:t>
            </w:r>
          </w:p>
        </w:tc>
      </w:tr>
    </w:tbl>
    <w:p w:rsidR="00373BB1" w:rsidRPr="00B0587B" w:rsidRDefault="00373BB1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6D7755" w:rsidRPr="00911C62" w:rsidRDefault="00B92854" w:rsidP="00373BB1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2014 yılının ilk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yarısında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A4454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likit aktifler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bir önceki yılın aynı dönemine göre </w:t>
      </w:r>
      <w:r w:rsidR="0056717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="006B554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6</w:t>
      </w:r>
      <w:r w:rsidR="00A4454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1D540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büyümüştür</w:t>
      </w:r>
      <w:r w:rsidR="00A4454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.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İlk çeyreğin ardından ikinci çeyrekte de 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para piyasasından alacaklar kalemindeki yüksek oranlı büyüme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nin devam ettiği görülmektedir.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Aynı dönemde m</w:t>
      </w:r>
      <w:r w:rsidR="00315335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enkul değerler cüzdanı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yüzde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8</w:t>
      </w:r>
      <w:r w:rsidR="001D540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, </w:t>
      </w:r>
      <w:r w:rsidR="00CA32CB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kredil</w:t>
      </w:r>
      <w:r w:rsidR="00A4454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er </w:t>
      </w:r>
      <w:r w:rsidR="00F16D4F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ise </w:t>
      </w:r>
      <w:r w:rsidR="00A4454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18</w:t>
      </w:r>
      <w:r w:rsidR="00315335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oranında artmıştır</w:t>
      </w:r>
      <w:r w:rsidR="006538F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.</w:t>
      </w:r>
      <w:r w:rsidR="001D540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2F24CF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Kredi büyümesi bilanço büyümesi üzerinde belirleyici rol oynam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aya devam ederken, son alınan önlemlerin yansıması ile bir miktar yavaşlamıştır. </w:t>
      </w: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</w:p>
    <w:p w:rsidR="001D540E" w:rsidRPr="00B0587B" w:rsidRDefault="001D540E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620D21" w:rsidRDefault="006538FE" w:rsidP="00373BB1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911C62">
        <w:rPr>
          <w:rFonts w:ascii="Arial" w:hAnsi="Arial" w:cs="Arial"/>
          <w:b w:val="0"/>
          <w:color w:val="000000" w:themeColor="text1"/>
          <w:sz w:val="22"/>
          <w:szCs w:val="22"/>
        </w:rPr>
        <w:lastRenderedPageBreak/>
        <w:t>Yıllık bazda bakıldığında, k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redilerin toplam</w:t>
      </w:r>
      <w:r w:rsidR="001D745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aktifler içi</w:t>
      </w:r>
      <w:r w:rsidR="007526A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ndeki payı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bir önceki çeyreğe göre 0,5 puan artarak </w:t>
      </w:r>
      <w:r w:rsidR="007526A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8D3FC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6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4</w:t>
      </w:r>
      <w:r w:rsidR="006B554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olarak gerçekleşmiştir.</w:t>
      </w:r>
      <w:r w:rsidR="00B9285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620D21" w:rsidRPr="00E82638">
        <w:rPr>
          <w:rFonts w:ascii="Arial" w:hAnsi="Arial" w:cs="Arial"/>
          <w:b w:val="0"/>
          <w:color w:val="000000" w:themeColor="text1"/>
          <w:sz w:val="22"/>
          <w:szCs w:val="22"/>
        </w:rPr>
        <w:t>Toplam kredilerin yüzde 1</w:t>
      </w:r>
      <w:r w:rsidR="00620D21">
        <w:rPr>
          <w:rFonts w:ascii="Arial" w:hAnsi="Arial" w:cs="Arial"/>
          <w:b w:val="0"/>
          <w:color w:val="000000" w:themeColor="text1"/>
          <w:sz w:val="22"/>
          <w:szCs w:val="22"/>
        </w:rPr>
        <w:t>,1</w:t>
      </w:r>
      <w:r w:rsidR="00620D21" w:rsidRPr="00E82638">
        <w:rPr>
          <w:rFonts w:ascii="Arial" w:hAnsi="Arial" w:cs="Arial"/>
          <w:b w:val="0"/>
          <w:color w:val="000000" w:themeColor="text1"/>
          <w:sz w:val="22"/>
          <w:szCs w:val="22"/>
        </w:rPr>
        <w:t>’i (</w:t>
      </w:r>
      <w:r w:rsidR="00620D21">
        <w:rPr>
          <w:rFonts w:ascii="Arial" w:hAnsi="Arial" w:cs="Arial"/>
          <w:b w:val="0"/>
          <w:color w:val="000000" w:themeColor="text1"/>
          <w:sz w:val="22"/>
          <w:szCs w:val="22"/>
        </w:rPr>
        <w:t>9,</w:t>
      </w:r>
      <w:r w:rsidR="00620D21" w:rsidRPr="00E82638">
        <w:rPr>
          <w:rFonts w:ascii="Arial" w:hAnsi="Arial" w:cs="Arial"/>
          <w:b w:val="0"/>
          <w:color w:val="000000" w:themeColor="text1"/>
          <w:sz w:val="22"/>
          <w:szCs w:val="22"/>
        </w:rPr>
        <w:t>4 milyar TL) bankanın dahil olduğu risk grubuna aittir.</w:t>
      </w:r>
      <w:r w:rsidR="00620D21" w:rsidRPr="00C46ED2">
        <w:rPr>
          <w:rFonts w:ascii="Arial" w:hAnsi="Arial" w:cs="Arial"/>
          <w:b w:val="0"/>
          <w:color w:val="FF0000"/>
          <w:sz w:val="22"/>
          <w:szCs w:val="22"/>
        </w:rPr>
        <w:t xml:space="preserve">  </w:t>
      </w:r>
    </w:p>
    <w:p w:rsidR="00620D21" w:rsidRDefault="00620D21" w:rsidP="00373BB1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373BB1" w:rsidRPr="00911C62" w:rsidRDefault="00620D21" w:rsidP="00373BB1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>T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akipteki krediler</w:t>
      </w:r>
      <w:r w:rsidR="006B554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in yıllık artış oranı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bir önceki çeyreğe göre değişmeyerek </w:t>
      </w:r>
      <w:r w:rsidR="00315335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22 olarak gerçekleşirken, 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özel karşılıklar</w:t>
      </w:r>
      <w:r w:rsidR="006B554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ın artış oranı </w:t>
      </w:r>
      <w:r w:rsidR="00DD33E5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ise 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6B554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5 olmuştur</w:t>
      </w:r>
      <w:r w:rsidR="00B9285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.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963A10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2013 yılı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Haziran</w:t>
      </w:r>
      <w:r w:rsidR="00B9285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ayında yüzde 78 olan ö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zel karşılıkların takipteki kr</w:t>
      </w:r>
      <w:r w:rsidR="00532BF8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e</w:t>
      </w:r>
      <w:r w:rsidR="006538F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dileri k</w:t>
      </w:r>
      <w:r w:rsidR="00F62EE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arşılama oranı </w:t>
      </w:r>
      <w:r w:rsidR="00B9285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2014 yılı ilk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yarısında</w:t>
      </w:r>
      <w:r w:rsidR="00B92854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yüzde 80’e yükselmiştir.</w:t>
      </w:r>
      <w:r w:rsidR="00373BB1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BF0D5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Tahsili gecikmiş alacakların kredilere oranı</w:t>
      </w:r>
      <w:r w:rsidR="00301D4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(brüt)</w:t>
      </w:r>
      <w:r w:rsidR="00BF0D5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Haziran </w:t>
      </w:r>
      <w:r w:rsidR="00C87E78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201</w:t>
      </w:r>
      <w:r w:rsidR="00640A37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4</w:t>
      </w:r>
      <w:r w:rsidR="005C39DE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A47BD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tarihine göre 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0,1 puanlık sınırlı bir düşüş göstererek </w:t>
      </w:r>
      <w:r w:rsidR="007F5D5D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1E3E7D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2,</w:t>
      </w:r>
      <w:r w:rsidR="00911C62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>8</w:t>
      </w:r>
      <w:r w:rsidR="00A47BD6" w:rsidRPr="00911C62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düzeyinde gerçekleşmiştir. </w:t>
      </w:r>
    </w:p>
    <w:p w:rsidR="00373BB1" w:rsidRPr="00B0587B" w:rsidRDefault="00373BB1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373BB1" w:rsidRPr="000C4844" w:rsidRDefault="00373BB1" w:rsidP="00373BB1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TL mevduat, geçen y</w:t>
      </w:r>
      <w:r w:rsidR="00CA32CB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ılın aynı dönemine göre yüzd</w:t>
      </w:r>
      <w:r w:rsidR="001D7456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e </w:t>
      </w:r>
      <w:r w:rsidR="002B5C06">
        <w:rPr>
          <w:rFonts w:ascii="Arial" w:hAnsi="Arial" w:cs="Arial"/>
          <w:b w:val="0"/>
          <w:color w:val="000000" w:themeColor="text1"/>
          <w:sz w:val="22"/>
          <w:szCs w:val="22"/>
        </w:rPr>
        <w:t>8</w:t>
      </w:r>
      <w:r w:rsidR="001D000A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oranında, YP mevduatın TL karşılığı ise yüzde </w:t>
      </w:r>
      <w:r w:rsidR="000C4844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29</w:t>
      </w:r>
      <w:r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oranında artmıştır. </w:t>
      </w:r>
      <w:r w:rsidR="00C4175C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Toplam </w:t>
      </w:r>
      <w:r w:rsidR="00240C25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mevduatın yüzde 4’ü</w:t>
      </w:r>
      <w:r w:rsidR="00A05A4D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(</w:t>
      </w:r>
      <w:r w:rsidR="0013152C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="00A47BD6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8</w:t>
      </w:r>
      <w:r w:rsidR="00E82638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A73280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milyar TL) bankanın dahil ol</w:t>
      </w:r>
      <w:r w:rsidR="002D67D5" w:rsidRPr="000C4844">
        <w:rPr>
          <w:rFonts w:ascii="Arial" w:hAnsi="Arial" w:cs="Arial"/>
          <w:b w:val="0"/>
          <w:color w:val="000000" w:themeColor="text1"/>
          <w:sz w:val="22"/>
          <w:szCs w:val="22"/>
        </w:rPr>
        <w:t>duğu risk grubuna aittir.</w:t>
      </w:r>
      <w:r w:rsidRPr="000C4844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</w:p>
    <w:p w:rsidR="005F72BB" w:rsidRPr="00B0587B" w:rsidRDefault="005F72BB" w:rsidP="00373BB1">
      <w:pPr>
        <w:pStyle w:val="Subtitle"/>
        <w:rPr>
          <w:rFonts w:ascii="Arial" w:hAnsi="Arial" w:cs="Arial"/>
          <w:color w:val="FF0000"/>
          <w:szCs w:val="24"/>
        </w:rPr>
      </w:pPr>
    </w:p>
    <w:p w:rsidR="002D67D5" w:rsidRPr="00AD0570" w:rsidRDefault="002D67D5" w:rsidP="005E3060">
      <w:pPr>
        <w:pStyle w:val="Subtitle"/>
        <w:jc w:val="center"/>
        <w:rPr>
          <w:rFonts w:ascii="Arial" w:hAnsi="Arial" w:cs="Arial"/>
          <w:color w:val="000000" w:themeColor="text1"/>
          <w:szCs w:val="24"/>
        </w:rPr>
      </w:pPr>
      <w:r w:rsidRPr="00AD0570">
        <w:rPr>
          <w:rFonts w:ascii="Arial" w:hAnsi="Arial" w:cs="Arial"/>
          <w:color w:val="000000" w:themeColor="text1"/>
          <w:szCs w:val="24"/>
        </w:rPr>
        <w:t>Pasif Kalemlerdeki Gelişmeler (Milyon TL)</w:t>
      </w:r>
    </w:p>
    <w:p w:rsidR="005F72BB" w:rsidRPr="00AD0570" w:rsidRDefault="005F72BB" w:rsidP="005E3060">
      <w:pPr>
        <w:pStyle w:val="Subtitle"/>
        <w:jc w:val="center"/>
        <w:rPr>
          <w:rFonts w:ascii="Arial" w:hAnsi="Arial" w:cs="Arial"/>
          <w:color w:val="000000" w:themeColor="text1"/>
          <w:szCs w:val="24"/>
        </w:rPr>
      </w:pPr>
    </w:p>
    <w:tbl>
      <w:tblPr>
        <w:tblW w:w="76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030"/>
        <w:gridCol w:w="1030"/>
        <w:gridCol w:w="1701"/>
        <w:gridCol w:w="1417"/>
      </w:tblGrid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0D69CF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6A2700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EF7712"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6A2700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EF7712"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Yıllık yüzde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Yüzde pay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0D69CF">
            <w:pPr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2014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EF7712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değişme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AD0570" w:rsidRDefault="006A2700" w:rsidP="003629D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EF7712" w:rsidRPr="00AD0570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 2014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Mevduat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750.383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649.791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58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450.815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417.162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35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299.568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232.628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23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Mevduat dışı 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281.811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233.857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22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SBK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19.212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14.769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Özkaynaklar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143.016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126.896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11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 Dönem Kar/zararı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8.652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10.556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-18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Diğer pasifler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108.277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81.549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8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Toplam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1.283.486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1.092.093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100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752.568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679.869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59</w:t>
            </w:r>
          </w:p>
        </w:tc>
      </w:tr>
      <w:tr w:rsidR="00AD0570" w:rsidRPr="00AD0570" w:rsidTr="00AD05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0D69CF">
            <w:pP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530.918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412.224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0570" w:rsidRPr="00AD0570" w:rsidRDefault="00AD0570" w:rsidP="003629D9">
            <w:pPr>
              <w:jc w:val="right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AD0570">
              <w:rPr>
                <w:rFonts w:ascii="Arial" w:hAnsi="Arial" w:cs="Arial"/>
                <w:color w:val="000000" w:themeColor="text1"/>
                <w:sz w:val="20"/>
              </w:rPr>
              <w:t>41</w:t>
            </w:r>
          </w:p>
        </w:tc>
      </w:tr>
    </w:tbl>
    <w:p w:rsidR="002D67D5" w:rsidRPr="00B0587B" w:rsidRDefault="002D67D5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234523" w:rsidRPr="00D9276E" w:rsidRDefault="003D228A" w:rsidP="00234523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Mevduat dışı kaynaklar,</w:t>
      </w:r>
      <w:r w:rsidR="00BF0D5E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toplam kaynakların yüzde </w:t>
      </w:r>
      <w:r w:rsidR="00A47BD6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="002B5C06">
        <w:rPr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="00A47BD6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’</w:t>
      </w:r>
      <w:r w:rsidR="002B5C06">
        <w:rPr>
          <w:rFonts w:ascii="Arial" w:hAnsi="Arial" w:cs="Arial"/>
          <w:b w:val="0"/>
          <w:color w:val="000000" w:themeColor="text1"/>
          <w:sz w:val="22"/>
          <w:szCs w:val="22"/>
        </w:rPr>
        <w:t>s</w:t>
      </w:r>
      <w:r w:rsidR="00091F8C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ini</w:t>
      </w:r>
      <w:r w:rsidR="00BF0D5E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oluşturmuştur. </w:t>
      </w:r>
      <w:r w:rsidR="000C4844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2014 yılının ilk çeyreğinde yıllık büyümesi yüzde 4’e kadar gerileyen </w:t>
      </w:r>
      <w:r w:rsidR="00D9276E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ö</w:t>
      </w:r>
      <w:r w:rsidR="00427CD6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zkaynaklardaki artış hızı </w:t>
      </w:r>
      <w:r w:rsidR="00D9276E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yüzde 13</w:t>
      </w:r>
      <w:r w:rsidR="006B5546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seviyesine </w:t>
      </w:r>
      <w:r w:rsidR="00D9276E">
        <w:rPr>
          <w:rFonts w:ascii="Arial" w:hAnsi="Arial" w:cs="Arial"/>
          <w:b w:val="0"/>
          <w:color w:val="000000" w:themeColor="text1"/>
          <w:sz w:val="22"/>
          <w:szCs w:val="22"/>
        </w:rPr>
        <w:t>yükselmiştir. Böylece 2014 yılı Haziran ayı itibariyle Bİ</w:t>
      </w:r>
      <w:r w:rsidR="00D9276E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ST’de işlem gören mevduat bankalarının toplam özkaynakları 143 milyar TL seviyesinde gerçekleşmiştir.</w:t>
      </w:r>
      <w:r w:rsidR="00D9276E">
        <w:rPr>
          <w:rFonts w:ascii="Arial" w:hAnsi="Arial" w:cs="Arial"/>
          <w:b w:val="0"/>
          <w:color w:val="FF0000"/>
          <w:sz w:val="22"/>
          <w:szCs w:val="22"/>
        </w:rPr>
        <w:t xml:space="preserve"> </w:t>
      </w:r>
    </w:p>
    <w:p w:rsidR="005E3060" w:rsidRPr="00B0587B" w:rsidRDefault="005E306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373BB1" w:rsidRPr="00D9276E" w:rsidRDefault="00373BB1" w:rsidP="00373BB1">
      <w:pPr>
        <w:pStyle w:val="Subtitle"/>
        <w:jc w:val="center"/>
        <w:rPr>
          <w:rFonts w:ascii="Arial" w:hAnsi="Arial" w:cs="Arial"/>
          <w:color w:val="000000" w:themeColor="text1"/>
          <w:szCs w:val="24"/>
        </w:rPr>
      </w:pPr>
      <w:r w:rsidRPr="00D9276E">
        <w:rPr>
          <w:rFonts w:ascii="Arial" w:hAnsi="Arial" w:cs="Arial"/>
          <w:color w:val="000000" w:themeColor="text1"/>
          <w:szCs w:val="24"/>
        </w:rPr>
        <w:t>Seçilmiş Gelir-Gider Dengesi Kalemleri (Milyon TL)</w:t>
      </w:r>
    </w:p>
    <w:tbl>
      <w:tblPr>
        <w:tblW w:w="5544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752"/>
        <w:gridCol w:w="971"/>
        <w:gridCol w:w="1156"/>
      </w:tblGrid>
      <w:tr w:rsidR="00D9276E" w:rsidRPr="00D9276E" w:rsidTr="00D06BF9">
        <w:trPr>
          <w:trHeight w:val="78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D9276E" w:rsidRDefault="002C3493" w:rsidP="002C3493">
            <w:pPr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D9276E" w:rsidRDefault="006A2700" w:rsidP="00D06BF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C46ED2"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</w:t>
            </w:r>
            <w:r w:rsidR="00D67174"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 xml:space="preserve"> 201</w:t>
            </w:r>
            <w:r w:rsidR="00DC20B9"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D9276E" w:rsidRDefault="006A2700" w:rsidP="00D06BF9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Haz</w:t>
            </w:r>
            <w:r w:rsidR="00130280"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.</w:t>
            </w:r>
            <w:r w:rsidR="00D67174"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 xml:space="preserve"> 201</w:t>
            </w:r>
            <w:r w:rsidR="00DC20B9"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C3493" w:rsidRPr="00D9276E" w:rsidRDefault="002C3493" w:rsidP="002C349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Yıllık yüzde değ.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Faiz gelirleri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48.925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39.908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23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Faiz giderleri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DD6570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26.985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17.667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53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Net faiz geliri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091F8C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21.940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091F8C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22.241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-1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Net ücret ve kom. gelirleri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7.211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6.444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12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Net ticari kar/zarar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-1.179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1.839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-164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Diğer faal. gelirleri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3.296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2.406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37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Faaliyet gelir/giderleri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D06BF9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32.360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33.672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-4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 xml:space="preserve"> -Diğer faal. giderleri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15.342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13.555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13</w:t>
            </w:r>
          </w:p>
        </w:tc>
      </w:tr>
      <w:tr w:rsidR="00D9276E" w:rsidRPr="00D9276E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Net faaliyet karı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FC3771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10.909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13.348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-18</w:t>
            </w:r>
          </w:p>
        </w:tc>
      </w:tr>
      <w:tr w:rsidR="00D9276E" w:rsidRPr="00D9276E" w:rsidTr="005B33C6">
        <w:trPr>
          <w:trHeight w:val="27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276E" w:rsidRPr="00D9276E" w:rsidRDefault="00D9276E" w:rsidP="002C3493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</w:pPr>
            <w:r w:rsidRPr="00D927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tr-TR"/>
              </w:rPr>
              <w:t>Net dönem kar/zararı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FC3771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8.628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10.464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276E" w:rsidRPr="00D9276E" w:rsidRDefault="00D9276E" w:rsidP="002C349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D9276E">
              <w:rPr>
                <w:rFonts w:ascii="Arial" w:hAnsi="Arial" w:cs="Arial"/>
                <w:color w:val="000000" w:themeColor="text1"/>
                <w:sz w:val="20"/>
              </w:rPr>
              <w:t>-18</w:t>
            </w:r>
          </w:p>
        </w:tc>
      </w:tr>
    </w:tbl>
    <w:p w:rsidR="00373BB1" w:rsidRPr="00B0587B" w:rsidRDefault="00373BB1" w:rsidP="00373BB1">
      <w:pPr>
        <w:pStyle w:val="Subtitle"/>
        <w:jc w:val="center"/>
        <w:rPr>
          <w:rFonts w:ascii="Arial" w:hAnsi="Arial" w:cs="Arial"/>
          <w:color w:val="FF0000"/>
          <w:sz w:val="22"/>
          <w:szCs w:val="22"/>
        </w:rPr>
      </w:pPr>
    </w:p>
    <w:p w:rsidR="005E3060" w:rsidRPr="00B0587B" w:rsidRDefault="005E3060" w:rsidP="005E3060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5E3060" w:rsidRPr="00D9276E" w:rsidRDefault="00D9276E" w:rsidP="005E3060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Haziran</w:t>
      </w:r>
      <w:r w:rsidR="00963A10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2014</w:t>
      </w:r>
      <w:r w:rsidR="005E3060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itibariyle, YP aktiflerin toplam aktifler içi</w:t>
      </w:r>
      <w:r w:rsidR="00CE6326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ndeki payı </w:t>
      </w:r>
      <w:r w:rsidR="00593CD0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34</w:t>
      </w:r>
      <w:r w:rsidR="005E3060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, YP pasiflerin toplam pasifler içindek</w:t>
      </w:r>
      <w:r w:rsidR="00CE6326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 payı ise </w:t>
      </w:r>
      <w:r w:rsidR="006B5546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A410CF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4</w:t>
      </w:r>
      <w:r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1</w:t>
      </w:r>
      <w:r w:rsidR="00D06BF9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seviyesinde</w:t>
      </w:r>
      <w:r w:rsidR="002C3493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D06BF9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>gerçekleşmiştir.</w:t>
      </w:r>
      <w:r w:rsidR="005E3060"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Pr="00D9276E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Bir önceki çeyreğe göre değerlendirildiğinde TL’nin değer kazanması YP varlıkların aktif ve pasifleri içindeki paylarının gerilemesine neden olmuştur. </w:t>
      </w:r>
    </w:p>
    <w:p w:rsidR="00234523" w:rsidRPr="00B0587B" w:rsidRDefault="00234523" w:rsidP="002D67D5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2D67D5" w:rsidRPr="007A5489" w:rsidRDefault="00963A10" w:rsidP="002D67D5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2014 yılı ilk çeyrekte</w:t>
      </w:r>
      <w:r w:rsidR="0052039A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, BIST</w:t>
      </w:r>
      <w:r w:rsidR="002D67D5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’de işlem gören mevduat bankalarının faiz gelirleri </w:t>
      </w:r>
      <w:r w:rsidR="006B5546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A410CF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2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3’lü</w:t>
      </w:r>
      <w:r w:rsidR="006B5546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k bir artış gösterirken</w:t>
      </w:r>
      <w:r w:rsidR="0052039A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,</w:t>
      </w:r>
      <w:r w:rsidR="00FB37B5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faiz giderleri</w:t>
      </w:r>
      <w:r w:rsidR="00BF0D5E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yüzde</w:t>
      </w:r>
      <w:r w:rsidR="00A410CF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53</w:t>
      </w:r>
      <w:r w:rsidR="00BE3BD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BF0D5E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oranında </w:t>
      </w:r>
      <w:r w:rsidR="00A410CF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artmıştır</w:t>
      </w:r>
      <w:r w:rsidR="00BF0D5E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Net faiz </w:t>
      </w:r>
      <w:r w:rsidR="00BE3BD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geliri</w:t>
      </w:r>
      <w:r w:rsidR="00BF0D5E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FB37B5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ise </w:t>
      </w:r>
      <w:r w:rsidR="00363946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1</w:t>
      </w:r>
      <w:r w:rsidR="00DC56DB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BF0D5E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oranında </w:t>
      </w:r>
      <w:r w:rsidR="00A410CF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gerilemiştir. </w:t>
      </w:r>
      <w:r w:rsidR="00BF0D5E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</w:p>
    <w:p w:rsidR="004440D6" w:rsidRPr="00B0587B" w:rsidRDefault="004440D6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:rsidR="00C46ED2" w:rsidRPr="00432AAC" w:rsidRDefault="009E5EED" w:rsidP="001E3E7D">
      <w:pPr>
        <w:pStyle w:val="Subtitle"/>
        <w:jc w:val="center"/>
        <w:rPr>
          <w:rFonts w:ascii="Arial" w:hAnsi="Arial" w:cs="Arial"/>
          <w:color w:val="000000" w:themeColor="text1"/>
          <w:szCs w:val="24"/>
        </w:rPr>
      </w:pPr>
      <w:r w:rsidRPr="00432AAC">
        <w:rPr>
          <w:rFonts w:ascii="Arial" w:hAnsi="Arial" w:cs="Arial"/>
          <w:color w:val="000000" w:themeColor="text1"/>
          <w:szCs w:val="24"/>
        </w:rPr>
        <w:t xml:space="preserve">Net Kar (milyon TL)  ve </w:t>
      </w:r>
      <w:r w:rsidR="00C54487" w:rsidRPr="00432AAC">
        <w:rPr>
          <w:rFonts w:ascii="Arial" w:hAnsi="Arial" w:cs="Arial"/>
          <w:color w:val="000000" w:themeColor="text1"/>
          <w:szCs w:val="24"/>
        </w:rPr>
        <w:t>Özkaynak Karlılığı (y</w:t>
      </w:r>
      <w:r w:rsidR="00373BB1" w:rsidRPr="00432AAC">
        <w:rPr>
          <w:rFonts w:ascii="Arial" w:hAnsi="Arial" w:cs="Arial"/>
          <w:color w:val="000000" w:themeColor="text1"/>
          <w:szCs w:val="24"/>
        </w:rPr>
        <w:t>ıllık</w:t>
      </w:r>
      <w:r w:rsidR="00360C27" w:rsidRPr="00432AAC">
        <w:rPr>
          <w:rFonts w:ascii="Arial" w:hAnsi="Arial" w:cs="Arial"/>
          <w:color w:val="000000" w:themeColor="text1"/>
          <w:szCs w:val="24"/>
        </w:rPr>
        <w:t>, yüzde</w:t>
      </w:r>
      <w:r w:rsidR="00373BB1" w:rsidRPr="00432AAC">
        <w:rPr>
          <w:rFonts w:ascii="Arial" w:hAnsi="Arial" w:cs="Arial"/>
          <w:color w:val="000000" w:themeColor="text1"/>
          <w:szCs w:val="24"/>
        </w:rPr>
        <w:t>)</w:t>
      </w:r>
      <w:r w:rsidRPr="00432AAC">
        <w:rPr>
          <w:rFonts w:ascii="Arial" w:hAnsi="Arial" w:cs="Arial"/>
          <w:color w:val="000000" w:themeColor="text1"/>
          <w:szCs w:val="24"/>
        </w:rPr>
        <w:t xml:space="preserve"> </w:t>
      </w:r>
      <w:r w:rsidR="00C54487" w:rsidRPr="00432AAC">
        <w:rPr>
          <w:rFonts w:ascii="Arial" w:hAnsi="Arial" w:cs="Arial"/>
          <w:color w:val="000000" w:themeColor="text1"/>
          <w:szCs w:val="24"/>
        </w:rPr>
        <w:t xml:space="preserve"> </w:t>
      </w:r>
    </w:p>
    <w:p w:rsidR="00C46ED2" w:rsidRPr="00B0587B" w:rsidRDefault="00C46ED2" w:rsidP="00373BB1">
      <w:pPr>
        <w:pStyle w:val="Subtitle"/>
        <w:jc w:val="center"/>
        <w:rPr>
          <w:rFonts w:ascii="Arial" w:hAnsi="Arial" w:cs="Arial"/>
          <w:color w:val="FF0000"/>
          <w:szCs w:val="24"/>
        </w:rPr>
      </w:pPr>
    </w:p>
    <w:p w:rsidR="00C46ED2" w:rsidRPr="00B0587B" w:rsidRDefault="00432AAC" w:rsidP="00373BB1">
      <w:pPr>
        <w:pStyle w:val="Subtitle"/>
        <w:jc w:val="center"/>
        <w:rPr>
          <w:rFonts w:ascii="Arial" w:hAnsi="Arial" w:cs="Arial"/>
          <w:color w:val="FF0000"/>
          <w:szCs w:val="24"/>
        </w:rPr>
      </w:pPr>
      <w:r>
        <w:rPr>
          <w:noProof/>
          <w:lang w:eastAsia="tr-TR"/>
        </w:rPr>
        <w:drawing>
          <wp:inline distT="0" distB="0" distL="0" distR="0" wp14:anchorId="5491E59B" wp14:editId="0F5376E8">
            <wp:extent cx="4970145" cy="2982087"/>
            <wp:effectExtent l="0" t="0" r="20955" b="2794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6ED2" w:rsidRPr="00B0587B" w:rsidRDefault="00C46ED2" w:rsidP="00432AAC">
      <w:pPr>
        <w:pStyle w:val="Subtitle"/>
        <w:rPr>
          <w:rFonts w:ascii="Arial" w:hAnsi="Arial" w:cs="Arial"/>
          <w:color w:val="FF0000"/>
          <w:szCs w:val="24"/>
        </w:rPr>
      </w:pPr>
    </w:p>
    <w:p w:rsidR="002D67D5" w:rsidRPr="00B0587B" w:rsidRDefault="00A410CF" w:rsidP="002D67D5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  <w:r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2014 yılının ilk 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altı</w:t>
      </w:r>
      <w:r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aylık bölümünde net dönem karı bir önceki yılın aynı dönemine göre yüzde 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18</w:t>
      </w:r>
      <w:r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gerilemiş ve 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8,6 </w:t>
      </w:r>
      <w:r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milyar </w:t>
      </w:r>
      <w:r w:rsidR="00BE3BD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TL</w:t>
      </w:r>
      <w:r w:rsidR="00BF0D5E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olmuştur. </w:t>
      </w:r>
      <w:r w:rsidR="007A5489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Haziran </w:t>
      </w:r>
      <w:r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2014’de </w:t>
      </w:r>
      <w:r w:rsidR="005F5390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yıllık </w:t>
      </w:r>
      <w:r w:rsidR="002D67D5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bazda özkaynak karlılığı</w:t>
      </w:r>
      <w:r w:rsidR="005F5390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432AAC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bir önceki çeyreğe göre 1,2 puan gerileyerek </w:t>
      </w:r>
      <w:r w:rsidR="00F40DE4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yüzde </w:t>
      </w:r>
      <w:r w:rsidR="00432AAC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11,7</w:t>
      </w:r>
      <w:r w:rsidR="00B15CA2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5F5390" w:rsidRPr="00432AAC">
        <w:rPr>
          <w:rFonts w:ascii="Arial" w:hAnsi="Arial" w:cs="Arial"/>
          <w:b w:val="0"/>
          <w:color w:val="000000" w:themeColor="text1"/>
          <w:sz w:val="22"/>
          <w:szCs w:val="22"/>
        </w:rPr>
        <w:t>seviyesinde gerçekleşmiştir.</w:t>
      </w:r>
    </w:p>
    <w:p w:rsidR="005E3060" w:rsidRPr="007A5489" w:rsidRDefault="005E3060" w:rsidP="00544DFA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544DFA" w:rsidRPr="007A5489" w:rsidRDefault="00D34B4A" w:rsidP="00544DFA">
      <w:pPr>
        <w:pStyle w:val="Subtitle"/>
        <w:rPr>
          <w:rFonts w:ascii="Arial" w:hAnsi="Arial" w:cs="Arial"/>
          <w:color w:val="000000" w:themeColor="text1"/>
          <w:szCs w:val="24"/>
        </w:rPr>
      </w:pPr>
      <w:r w:rsidRPr="007A5489">
        <w:rPr>
          <w:rFonts w:ascii="Arial" w:hAnsi="Arial" w:cs="Arial"/>
          <w:color w:val="000000" w:themeColor="text1"/>
          <w:szCs w:val="24"/>
        </w:rPr>
        <w:t>3</w:t>
      </w:r>
      <w:r w:rsidR="00DD41D0" w:rsidRPr="007A5489">
        <w:rPr>
          <w:rFonts w:ascii="Arial" w:hAnsi="Arial" w:cs="Arial"/>
          <w:color w:val="000000" w:themeColor="text1"/>
          <w:szCs w:val="24"/>
        </w:rPr>
        <w:t>. BİST</w:t>
      </w:r>
      <w:r w:rsidR="00544DFA" w:rsidRPr="007A5489">
        <w:rPr>
          <w:rFonts w:ascii="Arial" w:hAnsi="Arial" w:cs="Arial"/>
          <w:color w:val="000000" w:themeColor="text1"/>
          <w:szCs w:val="24"/>
        </w:rPr>
        <w:t>’de İşle</w:t>
      </w:r>
      <w:r w:rsidR="00DD41D0" w:rsidRPr="007A5489">
        <w:rPr>
          <w:rFonts w:ascii="Arial" w:hAnsi="Arial" w:cs="Arial"/>
          <w:color w:val="000000" w:themeColor="text1"/>
          <w:szCs w:val="24"/>
        </w:rPr>
        <w:t xml:space="preserve">m Gören Mevduat Bankalarının </w:t>
      </w:r>
      <w:r w:rsidR="00544DFA" w:rsidRPr="007A5489">
        <w:rPr>
          <w:rFonts w:ascii="Arial" w:hAnsi="Arial" w:cs="Arial"/>
          <w:color w:val="000000" w:themeColor="text1"/>
          <w:szCs w:val="24"/>
        </w:rPr>
        <w:t>B</w:t>
      </w:r>
      <w:r w:rsidR="00DD41D0" w:rsidRPr="007A5489">
        <w:rPr>
          <w:rFonts w:ascii="Arial" w:hAnsi="Arial" w:cs="Arial"/>
          <w:color w:val="000000" w:themeColor="text1"/>
          <w:szCs w:val="24"/>
        </w:rPr>
        <w:t>İST</w:t>
      </w:r>
      <w:r w:rsidR="00544DFA" w:rsidRPr="007A5489">
        <w:rPr>
          <w:rFonts w:ascii="Arial" w:hAnsi="Arial" w:cs="Arial"/>
          <w:color w:val="000000" w:themeColor="text1"/>
          <w:szCs w:val="24"/>
        </w:rPr>
        <w:t xml:space="preserve"> İçindeki Yeri</w:t>
      </w:r>
    </w:p>
    <w:p w:rsidR="00544DFA" w:rsidRPr="007A5489" w:rsidRDefault="00544DFA" w:rsidP="00544DFA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723E4" w:rsidRPr="007A5489" w:rsidRDefault="00DD41D0" w:rsidP="00D04B07">
      <w:pPr>
        <w:pStyle w:val="Subtitl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BIST</w:t>
      </w:r>
      <w:r w:rsidR="004723E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’de işlem gören hisse senetlerinin toplam piyasa değeri, 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Haziran </w:t>
      </w:r>
      <w:r w:rsidR="00D04B07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2014 </w:t>
      </w:r>
      <w:r w:rsidR="00CA550F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itibariyle </w:t>
      </w:r>
      <w:r w:rsidR="00D04B07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5</w:t>
      </w:r>
      <w:r w:rsidR="007A5489">
        <w:rPr>
          <w:rFonts w:ascii="Arial" w:hAnsi="Arial" w:cs="Arial"/>
          <w:b w:val="0"/>
          <w:color w:val="000000" w:themeColor="text1"/>
          <w:sz w:val="22"/>
          <w:szCs w:val="22"/>
        </w:rPr>
        <w:t>70</w:t>
      </w:r>
      <w:r w:rsidR="00D04B07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4723E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milyar</w:t>
      </w:r>
      <w:r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TL olarak gerçekleşmiştir. BİST</w:t>
      </w:r>
      <w:r w:rsidR="004723E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’de işlem gören </w:t>
      </w:r>
      <w:r w:rsidR="00D04B07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bankalar ve özel finans kurumlarının </w:t>
      </w:r>
      <w:r w:rsidR="004723E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piyasa değeri ise </w:t>
      </w:r>
      <w:r w:rsidR="00E419D7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1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75</w:t>
      </w:r>
      <w:r w:rsidR="004723E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milyar TL ile</w:t>
      </w:r>
      <w:r w:rsidR="00B742C3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D761E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toplam piyasa değerinin yüzde </w:t>
      </w:r>
      <w:r w:rsidR="00D04B07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3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1</w:t>
      </w:r>
      <w:r w:rsidR="00D04B07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’</w:t>
      </w:r>
      <w:r w:rsidR="007A5489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>ini</w:t>
      </w:r>
      <w:r w:rsidR="004723E4" w:rsidRPr="007A54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oluşturmuştur.</w:t>
      </w:r>
    </w:p>
    <w:bookmarkEnd w:id="1"/>
    <w:bookmarkEnd w:id="2"/>
    <w:p w:rsidR="00BF0D5E" w:rsidRPr="00B0587B" w:rsidRDefault="00BF0D5E" w:rsidP="00544DFA">
      <w:pPr>
        <w:pStyle w:val="BodyText"/>
        <w:rPr>
          <w:rFonts w:ascii="Arial" w:hAnsi="Arial" w:cs="Arial"/>
          <w:color w:val="FF0000"/>
          <w:sz w:val="22"/>
          <w:szCs w:val="22"/>
        </w:rPr>
      </w:pPr>
    </w:p>
    <w:sectPr w:rsidR="00BF0D5E" w:rsidRPr="00B0587B" w:rsidSect="00D416C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2381" w:right="2268" w:bottom="1440" w:left="1814" w:header="1151" w:footer="431" w:gutter="0"/>
      <w:pgNumType w:fmt="lowerRoman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536" w:rsidRDefault="00DF1536">
      <w:r>
        <w:separator/>
      </w:r>
    </w:p>
  </w:endnote>
  <w:endnote w:type="continuationSeparator" w:id="0">
    <w:p w:rsidR="00DF1536" w:rsidRDefault="00DF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6326" w:rsidRDefault="00CE63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Pr="00844875" w:rsidRDefault="00CE6326" w:rsidP="00D416CA">
    <w:pPr>
      <w:pStyle w:val="Footer"/>
      <w:tabs>
        <w:tab w:val="clear" w:pos="4153"/>
        <w:tab w:val="clear" w:pos="8306"/>
        <w:tab w:val="right" w:pos="7654"/>
      </w:tabs>
      <w:rPr>
        <w:rFonts w:ascii="Arial" w:hAnsi="Arial" w:cs="Arial"/>
        <w:sz w:val="18"/>
        <w:szCs w:val="18"/>
      </w:rPr>
    </w:pPr>
    <w:r w:rsidRPr="001A244F">
      <w:rPr>
        <w:rFonts w:ascii="Arial" w:hAnsi="Arial" w:cs="Arial"/>
        <w:sz w:val="18"/>
      </w:rPr>
      <w:t>T</w:t>
    </w:r>
    <w:r w:rsidR="00C733A1">
      <w:rPr>
        <w:rFonts w:ascii="Arial" w:hAnsi="Arial" w:cs="Arial"/>
        <w:sz w:val="18"/>
      </w:rPr>
      <w:t>BB/İstatistiki Raporlar/BIST</w:t>
    </w:r>
    <w:r w:rsidRPr="001A244F">
      <w:rPr>
        <w:rFonts w:ascii="Arial" w:hAnsi="Arial" w:cs="Arial"/>
        <w:sz w:val="18"/>
      </w:rPr>
      <w:t>’de İşlem</w:t>
    </w:r>
    <w:r w:rsidR="00D06BF9">
      <w:rPr>
        <w:rFonts w:ascii="Arial" w:hAnsi="Arial" w:cs="Arial"/>
        <w:sz w:val="18"/>
      </w:rPr>
      <w:t xml:space="preserve"> Gören Mevduat Bankaları/</w:t>
    </w:r>
    <w:r w:rsidR="00B11241">
      <w:rPr>
        <w:rFonts w:ascii="Arial" w:hAnsi="Arial" w:cs="Arial"/>
        <w:sz w:val="18"/>
      </w:rPr>
      <w:t>Haziran</w:t>
    </w:r>
    <w:r w:rsidR="00963A10">
      <w:rPr>
        <w:rFonts w:ascii="Arial" w:hAnsi="Arial" w:cs="Arial"/>
        <w:sz w:val="18"/>
      </w:rPr>
      <w:t xml:space="preserve"> 2014</w:t>
    </w:r>
    <w:r>
      <w:rPr>
        <w:sz w:val="18"/>
      </w:rPr>
      <w:tab/>
    </w:r>
    <w:r w:rsidRPr="00844875">
      <w:rPr>
        <w:rFonts w:ascii="Arial" w:hAnsi="Arial" w:cs="Arial"/>
        <w:sz w:val="18"/>
        <w:szCs w:val="18"/>
      </w:rPr>
      <w:fldChar w:fldCharType="begin"/>
    </w:r>
    <w:r w:rsidRPr="00844875">
      <w:rPr>
        <w:rFonts w:ascii="Arial" w:hAnsi="Arial" w:cs="Arial"/>
        <w:sz w:val="18"/>
        <w:szCs w:val="18"/>
      </w:rPr>
      <w:instrText xml:space="preserve"> PAGE  \* MERGEFORMAT </w:instrText>
    </w:r>
    <w:r w:rsidRPr="00844875">
      <w:rPr>
        <w:rFonts w:ascii="Arial" w:hAnsi="Arial" w:cs="Arial"/>
        <w:sz w:val="18"/>
        <w:szCs w:val="18"/>
      </w:rPr>
      <w:fldChar w:fldCharType="separate"/>
    </w:r>
    <w:r w:rsidR="00B639F6">
      <w:rPr>
        <w:rFonts w:ascii="Arial" w:hAnsi="Arial" w:cs="Arial"/>
        <w:noProof/>
        <w:sz w:val="18"/>
        <w:szCs w:val="18"/>
      </w:rPr>
      <w:t>ii</w:t>
    </w:r>
    <w:r w:rsidRPr="00844875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536" w:rsidRDefault="00DF1536">
      <w:r>
        <w:separator/>
      </w:r>
    </w:p>
  </w:footnote>
  <w:footnote w:type="continuationSeparator" w:id="0">
    <w:p w:rsidR="00DF1536" w:rsidRDefault="00DF1536">
      <w:r>
        <w:continuationSeparator/>
      </w:r>
    </w:p>
  </w:footnote>
  <w:footnote w:id="1">
    <w:p w:rsidR="00CE6326" w:rsidRPr="00060DA1" w:rsidRDefault="00CE6326" w:rsidP="00075F33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Akbank T.A.Ş., Alternatifbank A.Ş., Denizbank A.Ş., Finans Bank A.Ş., Şekerbank T.A.Ş., Tekstil Bankası A.Ş., Türk Ekonomi Bankası A.Ş., Türkiye Halk Bankası</w:t>
      </w:r>
      <w:r w:rsidR="0071090F">
        <w:rPr>
          <w:rFonts w:ascii="Arial" w:hAnsi="Arial" w:cs="Arial"/>
          <w:sz w:val="18"/>
          <w:szCs w:val="18"/>
        </w:rPr>
        <w:t xml:space="preserve"> A.Ş.</w:t>
      </w:r>
      <w:r w:rsidRPr="00060DA1">
        <w:rPr>
          <w:rFonts w:ascii="Arial" w:hAnsi="Arial" w:cs="Arial"/>
          <w:sz w:val="18"/>
          <w:szCs w:val="18"/>
        </w:rPr>
        <w:t>, Türkiye Garanti Bankası A.Ş., Türkiye İş Bankası A.Ş., Türkiye Vakıflar Bankası T.A.O. ve Yapı ve Kredi Bankası A.Ş.’yi kapsamaktadır.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6BEC361E" wp14:editId="0053EFA7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1" name="Picture 1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5FE50067" wp14:editId="23A05E1F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2" name="Picture 2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914D8"/>
    <w:multiLevelType w:val="hybridMultilevel"/>
    <w:tmpl w:val="177C6CD4"/>
    <w:lvl w:ilvl="0" w:tplc="7C88EE0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400CD2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FD"/>
    <w:rsid w:val="0000316F"/>
    <w:rsid w:val="000048EE"/>
    <w:rsid w:val="00005663"/>
    <w:rsid w:val="00007C73"/>
    <w:rsid w:val="00015229"/>
    <w:rsid w:val="000160AA"/>
    <w:rsid w:val="00017575"/>
    <w:rsid w:val="00017BEA"/>
    <w:rsid w:val="00023A2D"/>
    <w:rsid w:val="00024E29"/>
    <w:rsid w:val="00027542"/>
    <w:rsid w:val="0003146D"/>
    <w:rsid w:val="000337BE"/>
    <w:rsid w:val="000344BC"/>
    <w:rsid w:val="0004336A"/>
    <w:rsid w:val="00050A0A"/>
    <w:rsid w:val="000574D1"/>
    <w:rsid w:val="00060DA1"/>
    <w:rsid w:val="00063F82"/>
    <w:rsid w:val="000640D8"/>
    <w:rsid w:val="00072EDD"/>
    <w:rsid w:val="00073A4F"/>
    <w:rsid w:val="000743BF"/>
    <w:rsid w:val="000753A7"/>
    <w:rsid w:val="00075F33"/>
    <w:rsid w:val="000763B6"/>
    <w:rsid w:val="0007772D"/>
    <w:rsid w:val="00081D6C"/>
    <w:rsid w:val="00090CBF"/>
    <w:rsid w:val="00091F8C"/>
    <w:rsid w:val="00097808"/>
    <w:rsid w:val="000A01E6"/>
    <w:rsid w:val="000A2B7A"/>
    <w:rsid w:val="000A5B4D"/>
    <w:rsid w:val="000A7B3A"/>
    <w:rsid w:val="000B2996"/>
    <w:rsid w:val="000B3C9F"/>
    <w:rsid w:val="000B457C"/>
    <w:rsid w:val="000C4844"/>
    <w:rsid w:val="000C48B2"/>
    <w:rsid w:val="000C58D6"/>
    <w:rsid w:val="000C5A0D"/>
    <w:rsid w:val="000C6659"/>
    <w:rsid w:val="000C77B2"/>
    <w:rsid w:val="000D45AA"/>
    <w:rsid w:val="000D52E7"/>
    <w:rsid w:val="000D69CF"/>
    <w:rsid w:val="000E1FA2"/>
    <w:rsid w:val="000E31B4"/>
    <w:rsid w:val="000E425B"/>
    <w:rsid w:val="000E43C9"/>
    <w:rsid w:val="000E459B"/>
    <w:rsid w:val="000E579E"/>
    <w:rsid w:val="000E7B3E"/>
    <w:rsid w:val="000F0B1A"/>
    <w:rsid w:val="000F3289"/>
    <w:rsid w:val="000F4A30"/>
    <w:rsid w:val="001010F3"/>
    <w:rsid w:val="00101C9A"/>
    <w:rsid w:val="001068D7"/>
    <w:rsid w:val="00107091"/>
    <w:rsid w:val="00107DCC"/>
    <w:rsid w:val="00110161"/>
    <w:rsid w:val="0011151D"/>
    <w:rsid w:val="00112B10"/>
    <w:rsid w:val="00112B9E"/>
    <w:rsid w:val="00114B6D"/>
    <w:rsid w:val="00115805"/>
    <w:rsid w:val="00124FC3"/>
    <w:rsid w:val="001262FB"/>
    <w:rsid w:val="001275AA"/>
    <w:rsid w:val="00130280"/>
    <w:rsid w:val="00130CEF"/>
    <w:rsid w:val="00131033"/>
    <w:rsid w:val="0013152C"/>
    <w:rsid w:val="00137C05"/>
    <w:rsid w:val="00140928"/>
    <w:rsid w:val="00142011"/>
    <w:rsid w:val="00144589"/>
    <w:rsid w:val="00146BE4"/>
    <w:rsid w:val="001515D7"/>
    <w:rsid w:val="00154624"/>
    <w:rsid w:val="0015577B"/>
    <w:rsid w:val="00161692"/>
    <w:rsid w:val="00163489"/>
    <w:rsid w:val="00167BF5"/>
    <w:rsid w:val="00170249"/>
    <w:rsid w:val="00171AFF"/>
    <w:rsid w:val="001764FA"/>
    <w:rsid w:val="00180BCE"/>
    <w:rsid w:val="00182B7E"/>
    <w:rsid w:val="0019190C"/>
    <w:rsid w:val="00193AE4"/>
    <w:rsid w:val="001953FE"/>
    <w:rsid w:val="001977CB"/>
    <w:rsid w:val="001A1722"/>
    <w:rsid w:val="001A198C"/>
    <w:rsid w:val="001A2807"/>
    <w:rsid w:val="001A480C"/>
    <w:rsid w:val="001A566B"/>
    <w:rsid w:val="001B3D2B"/>
    <w:rsid w:val="001B6DFA"/>
    <w:rsid w:val="001B7094"/>
    <w:rsid w:val="001C1071"/>
    <w:rsid w:val="001C2060"/>
    <w:rsid w:val="001C4C1E"/>
    <w:rsid w:val="001C5B5F"/>
    <w:rsid w:val="001C6FB7"/>
    <w:rsid w:val="001C736E"/>
    <w:rsid w:val="001D000A"/>
    <w:rsid w:val="001D314E"/>
    <w:rsid w:val="001D3843"/>
    <w:rsid w:val="001D4937"/>
    <w:rsid w:val="001D540E"/>
    <w:rsid w:val="001D564F"/>
    <w:rsid w:val="001D7456"/>
    <w:rsid w:val="001E1B4B"/>
    <w:rsid w:val="001E3E7D"/>
    <w:rsid w:val="001E4CF9"/>
    <w:rsid w:val="001E5DA7"/>
    <w:rsid w:val="001E6811"/>
    <w:rsid w:val="001F3908"/>
    <w:rsid w:val="001F7734"/>
    <w:rsid w:val="001F7FCE"/>
    <w:rsid w:val="002004E8"/>
    <w:rsid w:val="0020749D"/>
    <w:rsid w:val="0021271F"/>
    <w:rsid w:val="002159C0"/>
    <w:rsid w:val="002170BE"/>
    <w:rsid w:val="00217C37"/>
    <w:rsid w:val="00220627"/>
    <w:rsid w:val="002230B9"/>
    <w:rsid w:val="002248F2"/>
    <w:rsid w:val="00225B06"/>
    <w:rsid w:val="00225EB5"/>
    <w:rsid w:val="00227388"/>
    <w:rsid w:val="00234523"/>
    <w:rsid w:val="00234AAA"/>
    <w:rsid w:val="00237A14"/>
    <w:rsid w:val="0024036D"/>
    <w:rsid w:val="00240C25"/>
    <w:rsid w:val="00240E2F"/>
    <w:rsid w:val="00242C53"/>
    <w:rsid w:val="00245CC4"/>
    <w:rsid w:val="00246E5F"/>
    <w:rsid w:val="00247827"/>
    <w:rsid w:val="00250E81"/>
    <w:rsid w:val="00252DBF"/>
    <w:rsid w:val="002621F6"/>
    <w:rsid w:val="002625DF"/>
    <w:rsid w:val="00267D7A"/>
    <w:rsid w:val="002702F1"/>
    <w:rsid w:val="00271995"/>
    <w:rsid w:val="00277452"/>
    <w:rsid w:val="002775E7"/>
    <w:rsid w:val="00280A9B"/>
    <w:rsid w:val="0028168E"/>
    <w:rsid w:val="002830E0"/>
    <w:rsid w:val="002848B2"/>
    <w:rsid w:val="00287873"/>
    <w:rsid w:val="00290CE8"/>
    <w:rsid w:val="002929E9"/>
    <w:rsid w:val="002960D3"/>
    <w:rsid w:val="002A6334"/>
    <w:rsid w:val="002A7A15"/>
    <w:rsid w:val="002B4074"/>
    <w:rsid w:val="002B53F5"/>
    <w:rsid w:val="002B5C06"/>
    <w:rsid w:val="002B77EB"/>
    <w:rsid w:val="002C3493"/>
    <w:rsid w:val="002C4D8D"/>
    <w:rsid w:val="002C5A1A"/>
    <w:rsid w:val="002C5CF5"/>
    <w:rsid w:val="002D3D2B"/>
    <w:rsid w:val="002D4536"/>
    <w:rsid w:val="002D67D5"/>
    <w:rsid w:val="002E0926"/>
    <w:rsid w:val="002E17DE"/>
    <w:rsid w:val="002E1FAE"/>
    <w:rsid w:val="002F0DE6"/>
    <w:rsid w:val="002F24CF"/>
    <w:rsid w:val="002F7D49"/>
    <w:rsid w:val="00301D46"/>
    <w:rsid w:val="00302CCE"/>
    <w:rsid w:val="0030479B"/>
    <w:rsid w:val="003075F6"/>
    <w:rsid w:val="00307B97"/>
    <w:rsid w:val="0031205E"/>
    <w:rsid w:val="00315135"/>
    <w:rsid w:val="00315335"/>
    <w:rsid w:val="00315958"/>
    <w:rsid w:val="00315AD0"/>
    <w:rsid w:val="00317443"/>
    <w:rsid w:val="00317FA3"/>
    <w:rsid w:val="00320222"/>
    <w:rsid w:val="00321866"/>
    <w:rsid w:val="00323632"/>
    <w:rsid w:val="00326018"/>
    <w:rsid w:val="00327D4B"/>
    <w:rsid w:val="00334EF7"/>
    <w:rsid w:val="0033616B"/>
    <w:rsid w:val="00337F0C"/>
    <w:rsid w:val="00342E54"/>
    <w:rsid w:val="00346032"/>
    <w:rsid w:val="0034670B"/>
    <w:rsid w:val="00350D30"/>
    <w:rsid w:val="00350F98"/>
    <w:rsid w:val="00352EFE"/>
    <w:rsid w:val="00360C27"/>
    <w:rsid w:val="00360E6D"/>
    <w:rsid w:val="003629D9"/>
    <w:rsid w:val="00362F2D"/>
    <w:rsid w:val="003637A6"/>
    <w:rsid w:val="00363946"/>
    <w:rsid w:val="00367936"/>
    <w:rsid w:val="00373BB1"/>
    <w:rsid w:val="00374986"/>
    <w:rsid w:val="003761C6"/>
    <w:rsid w:val="00376A74"/>
    <w:rsid w:val="00381E6B"/>
    <w:rsid w:val="00382FF2"/>
    <w:rsid w:val="00386F3C"/>
    <w:rsid w:val="0038766A"/>
    <w:rsid w:val="00395635"/>
    <w:rsid w:val="00396F07"/>
    <w:rsid w:val="0039711C"/>
    <w:rsid w:val="00397652"/>
    <w:rsid w:val="003A0244"/>
    <w:rsid w:val="003A0730"/>
    <w:rsid w:val="003A4B0D"/>
    <w:rsid w:val="003A4E37"/>
    <w:rsid w:val="003A6021"/>
    <w:rsid w:val="003B3D8F"/>
    <w:rsid w:val="003B4FEB"/>
    <w:rsid w:val="003B6F11"/>
    <w:rsid w:val="003B7153"/>
    <w:rsid w:val="003B72EF"/>
    <w:rsid w:val="003C2ACB"/>
    <w:rsid w:val="003C5895"/>
    <w:rsid w:val="003C6085"/>
    <w:rsid w:val="003C7686"/>
    <w:rsid w:val="003D0039"/>
    <w:rsid w:val="003D1BA8"/>
    <w:rsid w:val="003D228A"/>
    <w:rsid w:val="003D26BC"/>
    <w:rsid w:val="003D609E"/>
    <w:rsid w:val="003D74DC"/>
    <w:rsid w:val="003D7C20"/>
    <w:rsid w:val="003E0518"/>
    <w:rsid w:val="003E1EAF"/>
    <w:rsid w:val="003E27BA"/>
    <w:rsid w:val="003E599F"/>
    <w:rsid w:val="003E680C"/>
    <w:rsid w:val="003E7674"/>
    <w:rsid w:val="003F0E68"/>
    <w:rsid w:val="003F0F3C"/>
    <w:rsid w:val="003F1484"/>
    <w:rsid w:val="003F7079"/>
    <w:rsid w:val="0040004D"/>
    <w:rsid w:val="0040598A"/>
    <w:rsid w:val="00406961"/>
    <w:rsid w:val="00406991"/>
    <w:rsid w:val="0041045D"/>
    <w:rsid w:val="0041064C"/>
    <w:rsid w:val="0041278D"/>
    <w:rsid w:val="004134BC"/>
    <w:rsid w:val="004205F5"/>
    <w:rsid w:val="004273E6"/>
    <w:rsid w:val="00427CD6"/>
    <w:rsid w:val="0043294B"/>
    <w:rsid w:val="00432AAC"/>
    <w:rsid w:val="004354F1"/>
    <w:rsid w:val="00440BBF"/>
    <w:rsid w:val="004440D6"/>
    <w:rsid w:val="00445E33"/>
    <w:rsid w:val="0044798F"/>
    <w:rsid w:val="00451471"/>
    <w:rsid w:val="00451750"/>
    <w:rsid w:val="00453493"/>
    <w:rsid w:val="00454D3F"/>
    <w:rsid w:val="00457F1E"/>
    <w:rsid w:val="00457F61"/>
    <w:rsid w:val="00460AAF"/>
    <w:rsid w:val="00462761"/>
    <w:rsid w:val="004635A9"/>
    <w:rsid w:val="00463FB0"/>
    <w:rsid w:val="00467373"/>
    <w:rsid w:val="004723E4"/>
    <w:rsid w:val="00472DE7"/>
    <w:rsid w:val="0047341C"/>
    <w:rsid w:val="00473832"/>
    <w:rsid w:val="0047445A"/>
    <w:rsid w:val="00480020"/>
    <w:rsid w:val="004807F5"/>
    <w:rsid w:val="00484BB9"/>
    <w:rsid w:val="0048538F"/>
    <w:rsid w:val="00487C88"/>
    <w:rsid w:val="00487FC8"/>
    <w:rsid w:val="00492E36"/>
    <w:rsid w:val="004A042C"/>
    <w:rsid w:val="004A1BBA"/>
    <w:rsid w:val="004A361F"/>
    <w:rsid w:val="004B19F7"/>
    <w:rsid w:val="004B1E2A"/>
    <w:rsid w:val="004B3375"/>
    <w:rsid w:val="004B3FB7"/>
    <w:rsid w:val="004B4D0D"/>
    <w:rsid w:val="004B547B"/>
    <w:rsid w:val="004B6E31"/>
    <w:rsid w:val="004C374A"/>
    <w:rsid w:val="004C419B"/>
    <w:rsid w:val="004D17D7"/>
    <w:rsid w:val="004D5A79"/>
    <w:rsid w:val="004E0368"/>
    <w:rsid w:val="004E1FDB"/>
    <w:rsid w:val="004E3BB6"/>
    <w:rsid w:val="004F4F22"/>
    <w:rsid w:val="004F7254"/>
    <w:rsid w:val="005010CA"/>
    <w:rsid w:val="00511F4E"/>
    <w:rsid w:val="00514D84"/>
    <w:rsid w:val="00517505"/>
    <w:rsid w:val="0052039A"/>
    <w:rsid w:val="00531A2F"/>
    <w:rsid w:val="00532BF8"/>
    <w:rsid w:val="005332F9"/>
    <w:rsid w:val="00536383"/>
    <w:rsid w:val="00537572"/>
    <w:rsid w:val="00542284"/>
    <w:rsid w:val="00543ABE"/>
    <w:rsid w:val="00543E90"/>
    <w:rsid w:val="00544DFA"/>
    <w:rsid w:val="0054720B"/>
    <w:rsid w:val="00552433"/>
    <w:rsid w:val="00552EEB"/>
    <w:rsid w:val="0055363E"/>
    <w:rsid w:val="0055481A"/>
    <w:rsid w:val="00555638"/>
    <w:rsid w:val="005561ED"/>
    <w:rsid w:val="005629AB"/>
    <w:rsid w:val="0056307D"/>
    <w:rsid w:val="005655E6"/>
    <w:rsid w:val="00565B0B"/>
    <w:rsid w:val="005670AF"/>
    <w:rsid w:val="00567171"/>
    <w:rsid w:val="005730C3"/>
    <w:rsid w:val="005757BA"/>
    <w:rsid w:val="00576AF6"/>
    <w:rsid w:val="00580A13"/>
    <w:rsid w:val="0058353E"/>
    <w:rsid w:val="005839EF"/>
    <w:rsid w:val="00583A9A"/>
    <w:rsid w:val="00584765"/>
    <w:rsid w:val="00587DD8"/>
    <w:rsid w:val="005927DF"/>
    <w:rsid w:val="0059316B"/>
    <w:rsid w:val="00593CD0"/>
    <w:rsid w:val="005A4254"/>
    <w:rsid w:val="005A7FAF"/>
    <w:rsid w:val="005B14F4"/>
    <w:rsid w:val="005B1D48"/>
    <w:rsid w:val="005B2EDB"/>
    <w:rsid w:val="005B54D6"/>
    <w:rsid w:val="005B5E79"/>
    <w:rsid w:val="005B61D6"/>
    <w:rsid w:val="005C0915"/>
    <w:rsid w:val="005C1C6E"/>
    <w:rsid w:val="005C39DE"/>
    <w:rsid w:val="005D351C"/>
    <w:rsid w:val="005D427A"/>
    <w:rsid w:val="005D5F86"/>
    <w:rsid w:val="005E0EB8"/>
    <w:rsid w:val="005E3060"/>
    <w:rsid w:val="005F01B0"/>
    <w:rsid w:val="005F0384"/>
    <w:rsid w:val="005F0E0B"/>
    <w:rsid w:val="005F4C1C"/>
    <w:rsid w:val="005F5390"/>
    <w:rsid w:val="005F72BB"/>
    <w:rsid w:val="00601214"/>
    <w:rsid w:val="00604D62"/>
    <w:rsid w:val="00605186"/>
    <w:rsid w:val="00607CE2"/>
    <w:rsid w:val="00613C90"/>
    <w:rsid w:val="0061706E"/>
    <w:rsid w:val="00620D21"/>
    <w:rsid w:val="00622936"/>
    <w:rsid w:val="00622C1C"/>
    <w:rsid w:val="006240D7"/>
    <w:rsid w:val="00624300"/>
    <w:rsid w:val="00626E1B"/>
    <w:rsid w:val="00631227"/>
    <w:rsid w:val="006316BD"/>
    <w:rsid w:val="00633BD7"/>
    <w:rsid w:val="00635323"/>
    <w:rsid w:val="00640A37"/>
    <w:rsid w:val="00650D5B"/>
    <w:rsid w:val="00650F04"/>
    <w:rsid w:val="006519C2"/>
    <w:rsid w:val="00652C94"/>
    <w:rsid w:val="00653677"/>
    <w:rsid w:val="006538FE"/>
    <w:rsid w:val="00653CB7"/>
    <w:rsid w:val="00660DE2"/>
    <w:rsid w:val="00662973"/>
    <w:rsid w:val="00663612"/>
    <w:rsid w:val="00663701"/>
    <w:rsid w:val="006666DC"/>
    <w:rsid w:val="00667F5A"/>
    <w:rsid w:val="00671B49"/>
    <w:rsid w:val="00673DB8"/>
    <w:rsid w:val="006748F4"/>
    <w:rsid w:val="00675097"/>
    <w:rsid w:val="006762F3"/>
    <w:rsid w:val="00677FE2"/>
    <w:rsid w:val="006806F9"/>
    <w:rsid w:val="00681AA1"/>
    <w:rsid w:val="0068501C"/>
    <w:rsid w:val="00685C31"/>
    <w:rsid w:val="006861E6"/>
    <w:rsid w:val="00693E45"/>
    <w:rsid w:val="00694405"/>
    <w:rsid w:val="0069499C"/>
    <w:rsid w:val="00694C70"/>
    <w:rsid w:val="006A016C"/>
    <w:rsid w:val="006A1A36"/>
    <w:rsid w:val="006A2700"/>
    <w:rsid w:val="006A7A07"/>
    <w:rsid w:val="006B0957"/>
    <w:rsid w:val="006B4CC7"/>
    <w:rsid w:val="006B5546"/>
    <w:rsid w:val="006C04AC"/>
    <w:rsid w:val="006C11B5"/>
    <w:rsid w:val="006C75F2"/>
    <w:rsid w:val="006D04A6"/>
    <w:rsid w:val="006D0795"/>
    <w:rsid w:val="006D1A7B"/>
    <w:rsid w:val="006D1C38"/>
    <w:rsid w:val="006D2832"/>
    <w:rsid w:val="006D4F86"/>
    <w:rsid w:val="006D6768"/>
    <w:rsid w:val="006D6BCC"/>
    <w:rsid w:val="006D733A"/>
    <w:rsid w:val="006D7755"/>
    <w:rsid w:val="006E12D0"/>
    <w:rsid w:val="006E6316"/>
    <w:rsid w:val="006F056E"/>
    <w:rsid w:val="006F175C"/>
    <w:rsid w:val="006F17C4"/>
    <w:rsid w:val="006F3695"/>
    <w:rsid w:val="006F493A"/>
    <w:rsid w:val="006F6C51"/>
    <w:rsid w:val="0070101B"/>
    <w:rsid w:val="00701A22"/>
    <w:rsid w:val="00702446"/>
    <w:rsid w:val="007060EC"/>
    <w:rsid w:val="0071029A"/>
    <w:rsid w:val="0071090F"/>
    <w:rsid w:val="00710A75"/>
    <w:rsid w:val="007144E6"/>
    <w:rsid w:val="00716A11"/>
    <w:rsid w:val="00716CE3"/>
    <w:rsid w:val="007176B4"/>
    <w:rsid w:val="00722B3D"/>
    <w:rsid w:val="00723864"/>
    <w:rsid w:val="00724768"/>
    <w:rsid w:val="0072482D"/>
    <w:rsid w:val="0072503B"/>
    <w:rsid w:val="007257BA"/>
    <w:rsid w:val="0072627E"/>
    <w:rsid w:val="0072685A"/>
    <w:rsid w:val="00726C63"/>
    <w:rsid w:val="007277F2"/>
    <w:rsid w:val="00732510"/>
    <w:rsid w:val="00733010"/>
    <w:rsid w:val="007346BC"/>
    <w:rsid w:val="00735D15"/>
    <w:rsid w:val="00736A95"/>
    <w:rsid w:val="00742AD6"/>
    <w:rsid w:val="00743F56"/>
    <w:rsid w:val="00746475"/>
    <w:rsid w:val="00751096"/>
    <w:rsid w:val="007526A6"/>
    <w:rsid w:val="00757819"/>
    <w:rsid w:val="00765702"/>
    <w:rsid w:val="00765E41"/>
    <w:rsid w:val="00767684"/>
    <w:rsid w:val="00774B2C"/>
    <w:rsid w:val="00777A17"/>
    <w:rsid w:val="00784D68"/>
    <w:rsid w:val="00786776"/>
    <w:rsid w:val="00791989"/>
    <w:rsid w:val="00792B0A"/>
    <w:rsid w:val="00795D68"/>
    <w:rsid w:val="007A5489"/>
    <w:rsid w:val="007B0CE3"/>
    <w:rsid w:val="007B11CE"/>
    <w:rsid w:val="007B11F3"/>
    <w:rsid w:val="007B13AA"/>
    <w:rsid w:val="007B191A"/>
    <w:rsid w:val="007B2B49"/>
    <w:rsid w:val="007B3A2E"/>
    <w:rsid w:val="007B4606"/>
    <w:rsid w:val="007B4EF0"/>
    <w:rsid w:val="007B6614"/>
    <w:rsid w:val="007C1F90"/>
    <w:rsid w:val="007C2015"/>
    <w:rsid w:val="007C2107"/>
    <w:rsid w:val="007C30CC"/>
    <w:rsid w:val="007C42D3"/>
    <w:rsid w:val="007C6358"/>
    <w:rsid w:val="007C73CA"/>
    <w:rsid w:val="007C75D5"/>
    <w:rsid w:val="007D2FB0"/>
    <w:rsid w:val="007D56E6"/>
    <w:rsid w:val="007D5E9B"/>
    <w:rsid w:val="007E071E"/>
    <w:rsid w:val="007E218B"/>
    <w:rsid w:val="007E3EA2"/>
    <w:rsid w:val="007E57A0"/>
    <w:rsid w:val="007E671B"/>
    <w:rsid w:val="007E7DAD"/>
    <w:rsid w:val="007F03E6"/>
    <w:rsid w:val="007F42C1"/>
    <w:rsid w:val="007F5D5D"/>
    <w:rsid w:val="007F6160"/>
    <w:rsid w:val="007F7F67"/>
    <w:rsid w:val="00801147"/>
    <w:rsid w:val="0080576E"/>
    <w:rsid w:val="00811630"/>
    <w:rsid w:val="00813B8E"/>
    <w:rsid w:val="00814A25"/>
    <w:rsid w:val="008220D8"/>
    <w:rsid w:val="008304B1"/>
    <w:rsid w:val="00831576"/>
    <w:rsid w:val="00834723"/>
    <w:rsid w:val="00834737"/>
    <w:rsid w:val="0084013E"/>
    <w:rsid w:val="00840356"/>
    <w:rsid w:val="008403AA"/>
    <w:rsid w:val="008418B2"/>
    <w:rsid w:val="00843E2B"/>
    <w:rsid w:val="0084434D"/>
    <w:rsid w:val="00844875"/>
    <w:rsid w:val="00845952"/>
    <w:rsid w:val="00850D17"/>
    <w:rsid w:val="008511FB"/>
    <w:rsid w:val="00851D99"/>
    <w:rsid w:val="00855D97"/>
    <w:rsid w:val="008610C7"/>
    <w:rsid w:val="00867B10"/>
    <w:rsid w:val="0087259E"/>
    <w:rsid w:val="00872982"/>
    <w:rsid w:val="00874202"/>
    <w:rsid w:val="00877572"/>
    <w:rsid w:val="00883FA9"/>
    <w:rsid w:val="00884CB2"/>
    <w:rsid w:val="00890340"/>
    <w:rsid w:val="00890481"/>
    <w:rsid w:val="00890E03"/>
    <w:rsid w:val="00893E30"/>
    <w:rsid w:val="008970E7"/>
    <w:rsid w:val="0089784F"/>
    <w:rsid w:val="008A0D0F"/>
    <w:rsid w:val="008A4022"/>
    <w:rsid w:val="008A479E"/>
    <w:rsid w:val="008A6B52"/>
    <w:rsid w:val="008C0257"/>
    <w:rsid w:val="008C174E"/>
    <w:rsid w:val="008C1FD7"/>
    <w:rsid w:val="008C2207"/>
    <w:rsid w:val="008C3674"/>
    <w:rsid w:val="008C41A8"/>
    <w:rsid w:val="008D1382"/>
    <w:rsid w:val="008D29B8"/>
    <w:rsid w:val="008D3FC2"/>
    <w:rsid w:val="008D4C84"/>
    <w:rsid w:val="008E5308"/>
    <w:rsid w:val="008F2B54"/>
    <w:rsid w:val="008F2E71"/>
    <w:rsid w:val="008F7061"/>
    <w:rsid w:val="008F75AD"/>
    <w:rsid w:val="0090400E"/>
    <w:rsid w:val="00906BC7"/>
    <w:rsid w:val="00910F92"/>
    <w:rsid w:val="00911C62"/>
    <w:rsid w:val="0091223E"/>
    <w:rsid w:val="0091288A"/>
    <w:rsid w:val="009138BD"/>
    <w:rsid w:val="00913B76"/>
    <w:rsid w:val="009150E3"/>
    <w:rsid w:val="009179D1"/>
    <w:rsid w:val="0092329B"/>
    <w:rsid w:val="0093150B"/>
    <w:rsid w:val="009319BA"/>
    <w:rsid w:val="00932962"/>
    <w:rsid w:val="00936D80"/>
    <w:rsid w:val="00937621"/>
    <w:rsid w:val="009401B4"/>
    <w:rsid w:val="00940B06"/>
    <w:rsid w:val="00950618"/>
    <w:rsid w:val="0095204E"/>
    <w:rsid w:val="00955785"/>
    <w:rsid w:val="00955947"/>
    <w:rsid w:val="00956DC6"/>
    <w:rsid w:val="00957ECC"/>
    <w:rsid w:val="00960151"/>
    <w:rsid w:val="00960646"/>
    <w:rsid w:val="00963A10"/>
    <w:rsid w:val="00965490"/>
    <w:rsid w:val="00967398"/>
    <w:rsid w:val="009707A7"/>
    <w:rsid w:val="0097171C"/>
    <w:rsid w:val="009733EB"/>
    <w:rsid w:val="00973A72"/>
    <w:rsid w:val="0097402E"/>
    <w:rsid w:val="009749DA"/>
    <w:rsid w:val="00975D71"/>
    <w:rsid w:val="00976BE4"/>
    <w:rsid w:val="00980AD9"/>
    <w:rsid w:val="009852C9"/>
    <w:rsid w:val="009863CA"/>
    <w:rsid w:val="009905A9"/>
    <w:rsid w:val="0099182F"/>
    <w:rsid w:val="00993FC7"/>
    <w:rsid w:val="0099647E"/>
    <w:rsid w:val="009A037A"/>
    <w:rsid w:val="009A7CAD"/>
    <w:rsid w:val="009B0203"/>
    <w:rsid w:val="009B173E"/>
    <w:rsid w:val="009B2BEA"/>
    <w:rsid w:val="009B3345"/>
    <w:rsid w:val="009B41BA"/>
    <w:rsid w:val="009B6491"/>
    <w:rsid w:val="009B6493"/>
    <w:rsid w:val="009B6763"/>
    <w:rsid w:val="009C6D05"/>
    <w:rsid w:val="009C70AD"/>
    <w:rsid w:val="009D0E3A"/>
    <w:rsid w:val="009D3197"/>
    <w:rsid w:val="009D3B74"/>
    <w:rsid w:val="009D54F6"/>
    <w:rsid w:val="009D7997"/>
    <w:rsid w:val="009E5EED"/>
    <w:rsid w:val="009E660C"/>
    <w:rsid w:val="009E6D57"/>
    <w:rsid w:val="009F29D7"/>
    <w:rsid w:val="009F3297"/>
    <w:rsid w:val="009F6A65"/>
    <w:rsid w:val="009F6D60"/>
    <w:rsid w:val="00A01208"/>
    <w:rsid w:val="00A05A4D"/>
    <w:rsid w:val="00A0764C"/>
    <w:rsid w:val="00A122C3"/>
    <w:rsid w:val="00A14997"/>
    <w:rsid w:val="00A24D51"/>
    <w:rsid w:val="00A25469"/>
    <w:rsid w:val="00A2732B"/>
    <w:rsid w:val="00A36F63"/>
    <w:rsid w:val="00A410CF"/>
    <w:rsid w:val="00A42DBC"/>
    <w:rsid w:val="00A435E0"/>
    <w:rsid w:val="00A44544"/>
    <w:rsid w:val="00A463F1"/>
    <w:rsid w:val="00A47BD6"/>
    <w:rsid w:val="00A500B7"/>
    <w:rsid w:val="00A62C5D"/>
    <w:rsid w:val="00A62E4D"/>
    <w:rsid w:val="00A646F6"/>
    <w:rsid w:val="00A6488F"/>
    <w:rsid w:val="00A66235"/>
    <w:rsid w:val="00A66CD2"/>
    <w:rsid w:val="00A67558"/>
    <w:rsid w:val="00A714AD"/>
    <w:rsid w:val="00A73280"/>
    <w:rsid w:val="00A76ABA"/>
    <w:rsid w:val="00A80D41"/>
    <w:rsid w:val="00A83135"/>
    <w:rsid w:val="00A84A39"/>
    <w:rsid w:val="00A863A2"/>
    <w:rsid w:val="00A92925"/>
    <w:rsid w:val="00A94D4B"/>
    <w:rsid w:val="00A96553"/>
    <w:rsid w:val="00A97252"/>
    <w:rsid w:val="00A97969"/>
    <w:rsid w:val="00AA061F"/>
    <w:rsid w:val="00AA1A38"/>
    <w:rsid w:val="00AA3C83"/>
    <w:rsid w:val="00AA524B"/>
    <w:rsid w:val="00AA6DA4"/>
    <w:rsid w:val="00AB545C"/>
    <w:rsid w:val="00AB6F65"/>
    <w:rsid w:val="00AB770B"/>
    <w:rsid w:val="00AC226D"/>
    <w:rsid w:val="00AC43E1"/>
    <w:rsid w:val="00AC67A3"/>
    <w:rsid w:val="00AC7B6E"/>
    <w:rsid w:val="00AD0570"/>
    <w:rsid w:val="00AD1B45"/>
    <w:rsid w:val="00AD779B"/>
    <w:rsid w:val="00AE117C"/>
    <w:rsid w:val="00AE2535"/>
    <w:rsid w:val="00AE4EAD"/>
    <w:rsid w:val="00AE5A13"/>
    <w:rsid w:val="00AE6354"/>
    <w:rsid w:val="00AF0BD3"/>
    <w:rsid w:val="00AF2370"/>
    <w:rsid w:val="00AF3F96"/>
    <w:rsid w:val="00B01F34"/>
    <w:rsid w:val="00B02377"/>
    <w:rsid w:val="00B0587B"/>
    <w:rsid w:val="00B05DA4"/>
    <w:rsid w:val="00B10A83"/>
    <w:rsid w:val="00B11241"/>
    <w:rsid w:val="00B11478"/>
    <w:rsid w:val="00B13103"/>
    <w:rsid w:val="00B15CA2"/>
    <w:rsid w:val="00B175AF"/>
    <w:rsid w:val="00B20EB2"/>
    <w:rsid w:val="00B22B67"/>
    <w:rsid w:val="00B24EE3"/>
    <w:rsid w:val="00B25FE4"/>
    <w:rsid w:val="00B30C60"/>
    <w:rsid w:val="00B35CE2"/>
    <w:rsid w:val="00B41AFA"/>
    <w:rsid w:val="00B427EF"/>
    <w:rsid w:val="00B42E24"/>
    <w:rsid w:val="00B4452B"/>
    <w:rsid w:val="00B53222"/>
    <w:rsid w:val="00B56E20"/>
    <w:rsid w:val="00B608E4"/>
    <w:rsid w:val="00B632C7"/>
    <w:rsid w:val="00B639F6"/>
    <w:rsid w:val="00B6431E"/>
    <w:rsid w:val="00B6783A"/>
    <w:rsid w:val="00B67849"/>
    <w:rsid w:val="00B71373"/>
    <w:rsid w:val="00B73E73"/>
    <w:rsid w:val="00B742C3"/>
    <w:rsid w:val="00B775DF"/>
    <w:rsid w:val="00B809DB"/>
    <w:rsid w:val="00B85D10"/>
    <w:rsid w:val="00B867F7"/>
    <w:rsid w:val="00B911BA"/>
    <w:rsid w:val="00B92854"/>
    <w:rsid w:val="00B931E6"/>
    <w:rsid w:val="00B94D13"/>
    <w:rsid w:val="00BA2261"/>
    <w:rsid w:val="00BA3413"/>
    <w:rsid w:val="00BA4EBE"/>
    <w:rsid w:val="00BA6E43"/>
    <w:rsid w:val="00BB0AB2"/>
    <w:rsid w:val="00BB2C5D"/>
    <w:rsid w:val="00BB37FC"/>
    <w:rsid w:val="00BB474C"/>
    <w:rsid w:val="00BB5E88"/>
    <w:rsid w:val="00BB62C7"/>
    <w:rsid w:val="00BB7569"/>
    <w:rsid w:val="00BC4874"/>
    <w:rsid w:val="00BC5E9F"/>
    <w:rsid w:val="00BC5F85"/>
    <w:rsid w:val="00BD5083"/>
    <w:rsid w:val="00BD5C13"/>
    <w:rsid w:val="00BD7CD3"/>
    <w:rsid w:val="00BE3BD4"/>
    <w:rsid w:val="00BE49AF"/>
    <w:rsid w:val="00BE4CFD"/>
    <w:rsid w:val="00BE504A"/>
    <w:rsid w:val="00BF033E"/>
    <w:rsid w:val="00BF0D5E"/>
    <w:rsid w:val="00BF0FE8"/>
    <w:rsid w:val="00BF52C6"/>
    <w:rsid w:val="00BF579B"/>
    <w:rsid w:val="00C042AF"/>
    <w:rsid w:val="00C0479F"/>
    <w:rsid w:val="00C12525"/>
    <w:rsid w:val="00C17DA3"/>
    <w:rsid w:val="00C23974"/>
    <w:rsid w:val="00C2508B"/>
    <w:rsid w:val="00C25D29"/>
    <w:rsid w:val="00C261E5"/>
    <w:rsid w:val="00C270D2"/>
    <w:rsid w:val="00C3577A"/>
    <w:rsid w:val="00C379B4"/>
    <w:rsid w:val="00C4175C"/>
    <w:rsid w:val="00C41FF2"/>
    <w:rsid w:val="00C45413"/>
    <w:rsid w:val="00C46ED2"/>
    <w:rsid w:val="00C54487"/>
    <w:rsid w:val="00C54AD7"/>
    <w:rsid w:val="00C56A04"/>
    <w:rsid w:val="00C577D3"/>
    <w:rsid w:val="00C61B4B"/>
    <w:rsid w:val="00C61FB1"/>
    <w:rsid w:val="00C65B99"/>
    <w:rsid w:val="00C71218"/>
    <w:rsid w:val="00C71B5D"/>
    <w:rsid w:val="00C72888"/>
    <w:rsid w:val="00C733A1"/>
    <w:rsid w:val="00C80B1F"/>
    <w:rsid w:val="00C869C6"/>
    <w:rsid w:val="00C87E78"/>
    <w:rsid w:val="00C91A41"/>
    <w:rsid w:val="00C920D2"/>
    <w:rsid w:val="00C93612"/>
    <w:rsid w:val="00C93DD5"/>
    <w:rsid w:val="00C941CA"/>
    <w:rsid w:val="00C953EA"/>
    <w:rsid w:val="00CA03A2"/>
    <w:rsid w:val="00CA1084"/>
    <w:rsid w:val="00CA32CB"/>
    <w:rsid w:val="00CA550F"/>
    <w:rsid w:val="00CB0D2A"/>
    <w:rsid w:val="00CB10CB"/>
    <w:rsid w:val="00CB420D"/>
    <w:rsid w:val="00CB5334"/>
    <w:rsid w:val="00CB671B"/>
    <w:rsid w:val="00CB7D19"/>
    <w:rsid w:val="00CB7FF1"/>
    <w:rsid w:val="00CC15FB"/>
    <w:rsid w:val="00CC1E01"/>
    <w:rsid w:val="00CC3554"/>
    <w:rsid w:val="00CC49EC"/>
    <w:rsid w:val="00CC725E"/>
    <w:rsid w:val="00CD2354"/>
    <w:rsid w:val="00CD24F7"/>
    <w:rsid w:val="00CD3D7F"/>
    <w:rsid w:val="00CE5D93"/>
    <w:rsid w:val="00CE6326"/>
    <w:rsid w:val="00CE6C62"/>
    <w:rsid w:val="00CF0EAF"/>
    <w:rsid w:val="00CF739C"/>
    <w:rsid w:val="00D02D13"/>
    <w:rsid w:val="00D04B07"/>
    <w:rsid w:val="00D06BF9"/>
    <w:rsid w:val="00D107E7"/>
    <w:rsid w:val="00D10A14"/>
    <w:rsid w:val="00D11ABF"/>
    <w:rsid w:val="00D13E15"/>
    <w:rsid w:val="00D2086F"/>
    <w:rsid w:val="00D221E5"/>
    <w:rsid w:val="00D232E8"/>
    <w:rsid w:val="00D2408C"/>
    <w:rsid w:val="00D273D3"/>
    <w:rsid w:val="00D34200"/>
    <w:rsid w:val="00D34B4A"/>
    <w:rsid w:val="00D34C56"/>
    <w:rsid w:val="00D36EFC"/>
    <w:rsid w:val="00D3737A"/>
    <w:rsid w:val="00D37E9A"/>
    <w:rsid w:val="00D416CA"/>
    <w:rsid w:val="00D42E73"/>
    <w:rsid w:val="00D43C3E"/>
    <w:rsid w:val="00D461A9"/>
    <w:rsid w:val="00D50042"/>
    <w:rsid w:val="00D52921"/>
    <w:rsid w:val="00D62069"/>
    <w:rsid w:val="00D67174"/>
    <w:rsid w:val="00D7259F"/>
    <w:rsid w:val="00D734D4"/>
    <w:rsid w:val="00D740D5"/>
    <w:rsid w:val="00D74A37"/>
    <w:rsid w:val="00D761E4"/>
    <w:rsid w:val="00D87B03"/>
    <w:rsid w:val="00D9128E"/>
    <w:rsid w:val="00D925C2"/>
    <w:rsid w:val="00D9276E"/>
    <w:rsid w:val="00D92991"/>
    <w:rsid w:val="00D9497C"/>
    <w:rsid w:val="00DA7EE4"/>
    <w:rsid w:val="00DB0928"/>
    <w:rsid w:val="00DB21FB"/>
    <w:rsid w:val="00DB4801"/>
    <w:rsid w:val="00DB7EFE"/>
    <w:rsid w:val="00DC20B9"/>
    <w:rsid w:val="00DC56DB"/>
    <w:rsid w:val="00DC79A8"/>
    <w:rsid w:val="00DD33E5"/>
    <w:rsid w:val="00DD370F"/>
    <w:rsid w:val="00DD41D0"/>
    <w:rsid w:val="00DD6570"/>
    <w:rsid w:val="00DE2198"/>
    <w:rsid w:val="00DF1536"/>
    <w:rsid w:val="00DF162A"/>
    <w:rsid w:val="00DF1951"/>
    <w:rsid w:val="00DF1B81"/>
    <w:rsid w:val="00DF263C"/>
    <w:rsid w:val="00E11872"/>
    <w:rsid w:val="00E12BD0"/>
    <w:rsid w:val="00E14996"/>
    <w:rsid w:val="00E14E9C"/>
    <w:rsid w:val="00E1777D"/>
    <w:rsid w:val="00E179AA"/>
    <w:rsid w:val="00E21974"/>
    <w:rsid w:val="00E24314"/>
    <w:rsid w:val="00E310DC"/>
    <w:rsid w:val="00E32589"/>
    <w:rsid w:val="00E33476"/>
    <w:rsid w:val="00E36303"/>
    <w:rsid w:val="00E41042"/>
    <w:rsid w:val="00E419D7"/>
    <w:rsid w:val="00E41A64"/>
    <w:rsid w:val="00E43392"/>
    <w:rsid w:val="00E4362A"/>
    <w:rsid w:val="00E4511B"/>
    <w:rsid w:val="00E47799"/>
    <w:rsid w:val="00E52525"/>
    <w:rsid w:val="00E55209"/>
    <w:rsid w:val="00E55FE0"/>
    <w:rsid w:val="00E56CEB"/>
    <w:rsid w:val="00E57C01"/>
    <w:rsid w:val="00E60031"/>
    <w:rsid w:val="00E6049F"/>
    <w:rsid w:val="00E60B1D"/>
    <w:rsid w:val="00E66459"/>
    <w:rsid w:val="00E668C2"/>
    <w:rsid w:val="00E70480"/>
    <w:rsid w:val="00E755AB"/>
    <w:rsid w:val="00E75CAF"/>
    <w:rsid w:val="00E80E69"/>
    <w:rsid w:val="00E811FB"/>
    <w:rsid w:val="00E82638"/>
    <w:rsid w:val="00E849EF"/>
    <w:rsid w:val="00E87FD3"/>
    <w:rsid w:val="00E90843"/>
    <w:rsid w:val="00E94C57"/>
    <w:rsid w:val="00E9647E"/>
    <w:rsid w:val="00E97AAB"/>
    <w:rsid w:val="00EA07E8"/>
    <w:rsid w:val="00EA1B94"/>
    <w:rsid w:val="00EA1FC5"/>
    <w:rsid w:val="00EB034E"/>
    <w:rsid w:val="00EB3B9B"/>
    <w:rsid w:val="00EB7CA0"/>
    <w:rsid w:val="00EC16EE"/>
    <w:rsid w:val="00EC68BF"/>
    <w:rsid w:val="00EC75A1"/>
    <w:rsid w:val="00ED04E5"/>
    <w:rsid w:val="00ED1D6F"/>
    <w:rsid w:val="00EE1D99"/>
    <w:rsid w:val="00EE1EC3"/>
    <w:rsid w:val="00EE20F7"/>
    <w:rsid w:val="00EE25FA"/>
    <w:rsid w:val="00EE45F2"/>
    <w:rsid w:val="00EE68A9"/>
    <w:rsid w:val="00EF3D70"/>
    <w:rsid w:val="00EF7712"/>
    <w:rsid w:val="00F0278F"/>
    <w:rsid w:val="00F02A42"/>
    <w:rsid w:val="00F067BC"/>
    <w:rsid w:val="00F126EF"/>
    <w:rsid w:val="00F12A0D"/>
    <w:rsid w:val="00F1364A"/>
    <w:rsid w:val="00F16D4F"/>
    <w:rsid w:val="00F17128"/>
    <w:rsid w:val="00F233FE"/>
    <w:rsid w:val="00F254B1"/>
    <w:rsid w:val="00F313B2"/>
    <w:rsid w:val="00F33313"/>
    <w:rsid w:val="00F40DE4"/>
    <w:rsid w:val="00F43E87"/>
    <w:rsid w:val="00F46A0E"/>
    <w:rsid w:val="00F47596"/>
    <w:rsid w:val="00F551A4"/>
    <w:rsid w:val="00F558F6"/>
    <w:rsid w:val="00F562D5"/>
    <w:rsid w:val="00F56EB9"/>
    <w:rsid w:val="00F57209"/>
    <w:rsid w:val="00F57FA2"/>
    <w:rsid w:val="00F6240D"/>
    <w:rsid w:val="00F62A14"/>
    <w:rsid w:val="00F62EE1"/>
    <w:rsid w:val="00F6578E"/>
    <w:rsid w:val="00F66807"/>
    <w:rsid w:val="00F70358"/>
    <w:rsid w:val="00F726EC"/>
    <w:rsid w:val="00F7337D"/>
    <w:rsid w:val="00F73B6B"/>
    <w:rsid w:val="00F74FD3"/>
    <w:rsid w:val="00F81C5A"/>
    <w:rsid w:val="00F82854"/>
    <w:rsid w:val="00F82D51"/>
    <w:rsid w:val="00F84087"/>
    <w:rsid w:val="00F93D60"/>
    <w:rsid w:val="00F9423D"/>
    <w:rsid w:val="00F973D4"/>
    <w:rsid w:val="00F97DB3"/>
    <w:rsid w:val="00F97F87"/>
    <w:rsid w:val="00FA0013"/>
    <w:rsid w:val="00FA124C"/>
    <w:rsid w:val="00FA19FA"/>
    <w:rsid w:val="00FA2F7C"/>
    <w:rsid w:val="00FA4B77"/>
    <w:rsid w:val="00FA6B31"/>
    <w:rsid w:val="00FB031D"/>
    <w:rsid w:val="00FB059E"/>
    <w:rsid w:val="00FB294C"/>
    <w:rsid w:val="00FB3582"/>
    <w:rsid w:val="00FB37B5"/>
    <w:rsid w:val="00FB4A79"/>
    <w:rsid w:val="00FC00BB"/>
    <w:rsid w:val="00FC109E"/>
    <w:rsid w:val="00FC1335"/>
    <w:rsid w:val="00FC3771"/>
    <w:rsid w:val="00FC3EB0"/>
    <w:rsid w:val="00FC5E7D"/>
    <w:rsid w:val="00FD0371"/>
    <w:rsid w:val="00FD0F53"/>
    <w:rsid w:val="00FD2431"/>
    <w:rsid w:val="00FD5734"/>
    <w:rsid w:val="00FE1947"/>
    <w:rsid w:val="00FE4D3C"/>
    <w:rsid w:val="00FF186E"/>
    <w:rsid w:val="00FF1DA8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chart" Target="charts/chart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tbbdosyas\mev\Bankac&#305;l&#305;k%20G&#246;stergeleri%20Sunumlar\Ara&#351;t&#305;rma%20raporlar&#305;\Ucayl&#305;k\B&#304;ST%20Haziran%202014\&#304;MKB%20Haziran%20201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401879565091601"/>
          <c:y val="0.10280405107346145"/>
          <c:w val="0.8168231754008245"/>
          <c:h val="0.68847561476469643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müsvedde!$G$38</c:f>
              <c:strCache>
                <c:ptCount val="1"/>
                <c:pt idx="0">
                  <c:v>Net Kar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FF"/>
              </a:solidFill>
              <a:prstDash val="solid"/>
            </a:ln>
          </c:spPr>
          <c:invertIfNegative val="0"/>
          <c:cat>
            <c:strRef>
              <c:f>müsvedde!$F$64:$F$77</c:f>
              <c:strCache>
                <c:ptCount val="14"/>
                <c:pt idx="0">
                  <c:v>11/3</c:v>
                </c:pt>
                <c:pt idx="1">
                  <c:v>11/6</c:v>
                </c:pt>
                <c:pt idx="2">
                  <c:v>11/9</c:v>
                </c:pt>
                <c:pt idx="3">
                  <c:v>11/12</c:v>
                </c:pt>
                <c:pt idx="4">
                  <c:v>12/3</c:v>
                </c:pt>
                <c:pt idx="5">
                  <c:v>12/06</c:v>
                </c:pt>
                <c:pt idx="6">
                  <c:v>12/09</c:v>
                </c:pt>
                <c:pt idx="7">
                  <c:v>12/12</c:v>
                </c:pt>
                <c:pt idx="8">
                  <c:v>13/3</c:v>
                </c:pt>
                <c:pt idx="9">
                  <c:v>13/6</c:v>
                </c:pt>
                <c:pt idx="10">
                  <c:v>13/9</c:v>
                </c:pt>
                <c:pt idx="11">
                  <c:v>13/12</c:v>
                </c:pt>
                <c:pt idx="12">
                  <c:v>14/3</c:v>
                </c:pt>
                <c:pt idx="13">
                  <c:v>14/6</c:v>
                </c:pt>
              </c:strCache>
            </c:strRef>
          </c:cat>
          <c:val>
            <c:numRef>
              <c:f>müsvedde!$G$64:$G$77</c:f>
              <c:numCache>
                <c:formatCode>#,##0</c:formatCode>
                <c:ptCount val="14"/>
                <c:pt idx="0">
                  <c:v>15623.207</c:v>
                </c:pt>
                <c:pt idx="1">
                  <c:v>15258</c:v>
                </c:pt>
                <c:pt idx="2">
                  <c:v>15159</c:v>
                </c:pt>
                <c:pt idx="3">
                  <c:v>15359</c:v>
                </c:pt>
                <c:pt idx="4">
                  <c:v>15509.793</c:v>
                </c:pt>
                <c:pt idx="5">
                  <c:v>15701</c:v>
                </c:pt>
                <c:pt idx="6">
                  <c:v>16646</c:v>
                </c:pt>
                <c:pt idx="7">
                  <c:v>17835</c:v>
                </c:pt>
                <c:pt idx="8">
                  <c:v>18855</c:v>
                </c:pt>
                <c:pt idx="9">
                  <c:v>19744</c:v>
                </c:pt>
                <c:pt idx="10">
                  <c:v>20238</c:v>
                </c:pt>
                <c:pt idx="11">
                  <c:v>18704.07</c:v>
                </c:pt>
                <c:pt idx="12">
                  <c:v>17367.07</c:v>
                </c:pt>
                <c:pt idx="13">
                  <c:v>16775.743000000002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8753408"/>
        <c:axId val="58754944"/>
      </c:barChart>
      <c:lineChart>
        <c:grouping val="standard"/>
        <c:varyColors val="0"/>
        <c:ser>
          <c:idx val="0"/>
          <c:order val="1"/>
          <c:tx>
            <c:strRef>
              <c:f>müsvedde!$H$38</c:f>
              <c:strCache>
                <c:ptCount val="1"/>
                <c:pt idx="0">
                  <c:v>Özkaynak Karlılığı</c:v>
                </c:pt>
              </c:strCache>
            </c:strRef>
          </c:tx>
          <c:spPr>
            <a:ln w="38100">
              <a:solidFill>
                <a:srgbClr val="FF0000"/>
              </a:solidFill>
              <a:prstDash val="solid"/>
            </a:ln>
          </c:spPr>
          <c:marker>
            <c:symbol val="none"/>
          </c:marker>
          <c:cat>
            <c:strRef>
              <c:f>müsvedde!$F$64:$F$77</c:f>
              <c:strCache>
                <c:ptCount val="14"/>
                <c:pt idx="0">
                  <c:v>11/3</c:v>
                </c:pt>
                <c:pt idx="1">
                  <c:v>11/6</c:v>
                </c:pt>
                <c:pt idx="2">
                  <c:v>11/9</c:v>
                </c:pt>
                <c:pt idx="3">
                  <c:v>11/12</c:v>
                </c:pt>
                <c:pt idx="4">
                  <c:v>12/3</c:v>
                </c:pt>
                <c:pt idx="5">
                  <c:v>12/06</c:v>
                </c:pt>
                <c:pt idx="6">
                  <c:v>12/09</c:v>
                </c:pt>
                <c:pt idx="7">
                  <c:v>12/12</c:v>
                </c:pt>
                <c:pt idx="8">
                  <c:v>13/3</c:v>
                </c:pt>
                <c:pt idx="9">
                  <c:v>13/6</c:v>
                </c:pt>
                <c:pt idx="10">
                  <c:v>13/9</c:v>
                </c:pt>
                <c:pt idx="11">
                  <c:v>13/12</c:v>
                </c:pt>
                <c:pt idx="12">
                  <c:v>14/3</c:v>
                </c:pt>
                <c:pt idx="13">
                  <c:v>14/6</c:v>
                </c:pt>
              </c:strCache>
            </c:strRef>
          </c:cat>
          <c:val>
            <c:numRef>
              <c:f>müsvedde!$H$64:$H$77</c:f>
              <c:numCache>
                <c:formatCode>#,##0.0</c:formatCode>
                <c:ptCount val="14"/>
                <c:pt idx="0">
                  <c:v>16.890528521884494</c:v>
                </c:pt>
                <c:pt idx="1">
                  <c:v>15.963617599314015</c:v>
                </c:pt>
                <c:pt idx="2">
                  <c:v>15.634319587068319</c:v>
                </c:pt>
                <c:pt idx="3">
                  <c:v>15.512104471130053</c:v>
                </c:pt>
                <c:pt idx="4">
                  <c:v>14.719921986219465</c:v>
                </c:pt>
                <c:pt idx="5">
                  <c:v>14.278049578960768</c:v>
                </c:pt>
                <c:pt idx="6">
                  <c:v>14.283385246393973</c:v>
                </c:pt>
                <c:pt idx="7">
                  <c:v>14.024423807314559</c:v>
                </c:pt>
                <c:pt idx="8">
                  <c:v>14.485681666178369</c:v>
                </c:pt>
                <c:pt idx="9">
                  <c:v>15.558952859777145</c:v>
                </c:pt>
                <c:pt idx="10">
                  <c:v>15.618150949220558</c:v>
                </c:pt>
                <c:pt idx="11" formatCode="General">
                  <c:v>14.1</c:v>
                </c:pt>
                <c:pt idx="12" formatCode="General">
                  <c:v>12.9</c:v>
                </c:pt>
                <c:pt idx="13" formatCode="0.0">
                  <c:v>11.729977678578923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8761216"/>
        <c:axId val="58762752"/>
      </c:lineChart>
      <c:catAx>
        <c:axId val="5875340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5875494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58754944"/>
        <c:scaling>
          <c:orientation val="minMax"/>
          <c:min val="100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Milyon TL</a:t>
                </a:r>
              </a:p>
            </c:rich>
          </c:tx>
          <c:layout>
            <c:manualLayout>
              <c:xMode val="edge"/>
              <c:yMode val="edge"/>
              <c:x val="4.1121495327102804E-2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58753408"/>
        <c:crosses val="autoZero"/>
        <c:crossBetween val="between"/>
      </c:valAx>
      <c:catAx>
        <c:axId val="58761216"/>
        <c:scaling>
          <c:orientation val="minMax"/>
        </c:scaling>
        <c:delete val="1"/>
        <c:axPos val="b"/>
        <c:majorTickMark val="out"/>
        <c:minorTickMark val="none"/>
        <c:tickLblPos val="nextTo"/>
        <c:crossAx val="58762752"/>
        <c:crosses val="autoZero"/>
        <c:auto val="0"/>
        <c:lblAlgn val="ctr"/>
        <c:lblOffset val="100"/>
        <c:noMultiLvlLbl val="0"/>
      </c:catAx>
      <c:valAx>
        <c:axId val="58762752"/>
        <c:scaling>
          <c:orientation val="minMax"/>
          <c:min val="10"/>
        </c:scaling>
        <c:delete val="0"/>
        <c:axPos val="r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yüzde</a:t>
                </a:r>
              </a:p>
            </c:rich>
          </c:tx>
          <c:layout>
            <c:manualLayout>
              <c:xMode val="edge"/>
              <c:yMode val="edge"/>
              <c:x val="0.91215031765889076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58761216"/>
        <c:crosses val="max"/>
        <c:crossBetween val="between"/>
        <c:majorUnit val="2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3177589717173203"/>
          <c:y val="0.9003141429751188"/>
          <c:w val="0.5962622709544485"/>
          <c:h val="6.2305623012076761E-2"/>
        </c:manualLayout>
      </c:layout>
      <c:overlay val="0"/>
      <c:spPr>
        <a:solidFill>
          <a:srgbClr val="FFFFFF"/>
        </a:solidFill>
        <a:ln w="3175">
          <a:noFill/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tr-TR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6522D4C7FE56341A02F819AE42E43B0" ma:contentTypeVersion="0" ma:contentTypeDescription="Yeni belge oluşturun." ma:contentTypeScope="" ma:versionID="63ddf5b260d5536c86bc350d09631d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0A7A-C042-470D-B646-5CE1B81C8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892A2-4DF7-4398-AE5B-1F1573C50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7EE0E-CC99-448B-8216-FD6874971DF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9F9984E-B707-4653-966A-4C42EDDF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İMKB’de İşlem Gören Ticaret Bankaları</vt:lpstr>
    </vt:vector>
  </TitlesOfParts>
  <Company>A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İMKB’de İşlem Gören Ticaret Bankaları</dc:title>
  <dc:creator>gKilinc</dc:creator>
  <cp:lastModifiedBy>Aslı Özaktan</cp:lastModifiedBy>
  <cp:revision>2</cp:revision>
  <cp:lastPrinted>2014-08-27T07:35:00Z</cp:lastPrinted>
  <dcterms:created xsi:type="dcterms:W3CDTF">2014-08-27T10:06:00Z</dcterms:created>
  <dcterms:modified xsi:type="dcterms:W3CDTF">2014-08-27T10:06:00Z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0x01010016522D4C7FE56341A02F819AE42E43B0</vt:lpwstr>
  </property>
</Properties>
</file>